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300BD" w14:textId="7672DA87" w:rsidR="001A28CA" w:rsidRDefault="001A28CA" w:rsidP="000C74F3">
      <w:pPr>
        <w:rPr>
          <w:b/>
          <w:sz w:val="20"/>
        </w:rPr>
      </w:pPr>
    </w:p>
    <w:tbl>
      <w:tblPr>
        <w:tblStyle w:val="TableGrid"/>
        <w:tblW w:w="9644" w:type="dxa"/>
        <w:tblInd w:w="-145" w:type="dxa"/>
        <w:tblLook w:val="04A0" w:firstRow="1" w:lastRow="0" w:firstColumn="1" w:lastColumn="0" w:noHBand="0" w:noVBand="1"/>
      </w:tblPr>
      <w:tblGrid>
        <w:gridCol w:w="6480"/>
        <w:gridCol w:w="1620"/>
        <w:gridCol w:w="1544"/>
      </w:tblGrid>
      <w:tr w:rsidR="00D178E7" w14:paraId="72643CEE" w14:textId="77777777" w:rsidTr="00D178E7">
        <w:trPr>
          <w:trHeight w:val="1152"/>
        </w:trPr>
        <w:tc>
          <w:tcPr>
            <w:tcW w:w="9644" w:type="dxa"/>
            <w:gridSpan w:val="3"/>
          </w:tcPr>
          <w:p w14:paraId="060BAA79" w14:textId="77777777" w:rsidR="00D178E7" w:rsidRDefault="00D178E7" w:rsidP="000C74F3">
            <w:pPr>
              <w:rPr>
                <w:b/>
                <w:sz w:val="20"/>
              </w:rPr>
            </w:pPr>
          </w:p>
          <w:p w14:paraId="4EC9AF92" w14:textId="7416C667" w:rsidR="00D178E7" w:rsidRDefault="00D178E7" w:rsidP="000C74F3">
            <w:pPr>
              <w:rPr>
                <w:b/>
                <w:sz w:val="20"/>
              </w:rPr>
            </w:pPr>
            <w:r>
              <w:rPr>
                <w:b/>
                <w:sz w:val="20"/>
              </w:rPr>
              <w:t xml:space="preserve">Student ID:  </w:t>
            </w:r>
          </w:p>
          <w:p w14:paraId="2A614ABC" w14:textId="77777777" w:rsidR="00D178E7" w:rsidRDefault="00D178E7" w:rsidP="000C74F3">
            <w:pPr>
              <w:rPr>
                <w:sz w:val="20"/>
              </w:rPr>
            </w:pPr>
          </w:p>
          <w:p w14:paraId="0E59F4C4" w14:textId="28C64FC3" w:rsidR="00D178E7" w:rsidRDefault="00D178E7" w:rsidP="000C74F3">
            <w:pPr>
              <w:rPr>
                <w:b/>
                <w:sz w:val="20"/>
              </w:rPr>
            </w:pPr>
            <w:r w:rsidRPr="000C74F3">
              <w:rPr>
                <w:b/>
                <w:sz w:val="20"/>
              </w:rPr>
              <w:t>Course/Subject:</w:t>
            </w:r>
            <w:r w:rsidR="00262E91">
              <w:rPr>
                <w:b/>
                <w:sz w:val="20"/>
              </w:rPr>
              <w:t xml:space="preserve"> </w:t>
            </w:r>
          </w:p>
          <w:p w14:paraId="2C0FBA21" w14:textId="77777777" w:rsidR="00D178E7" w:rsidRPr="000C74F3" w:rsidRDefault="00D178E7" w:rsidP="000C74F3">
            <w:pPr>
              <w:rPr>
                <w:b/>
                <w:sz w:val="20"/>
              </w:rPr>
            </w:pPr>
          </w:p>
        </w:tc>
      </w:tr>
      <w:tr w:rsidR="00D178E7" w14:paraId="6F36168B" w14:textId="77777777" w:rsidTr="00D178E7">
        <w:tc>
          <w:tcPr>
            <w:tcW w:w="6480" w:type="dxa"/>
            <w:vMerge w:val="restart"/>
            <w:shd w:val="clear" w:color="auto" w:fill="BFBFBF" w:themeFill="background1" w:themeFillShade="BF"/>
          </w:tcPr>
          <w:p w14:paraId="2E9C94B5" w14:textId="77777777" w:rsidR="00D178E7" w:rsidRDefault="00D178E7" w:rsidP="001A28CA">
            <w:pPr>
              <w:jc w:val="center"/>
              <w:rPr>
                <w:b/>
                <w:sz w:val="28"/>
              </w:rPr>
            </w:pPr>
          </w:p>
          <w:p w14:paraId="1952079A" w14:textId="751AC198" w:rsidR="00D178E7" w:rsidRPr="000C74F3" w:rsidRDefault="00B34F86" w:rsidP="001A28CA">
            <w:pPr>
              <w:jc w:val="center"/>
              <w:rPr>
                <w:b/>
                <w:sz w:val="28"/>
              </w:rPr>
            </w:pPr>
            <w:r>
              <w:rPr>
                <w:b/>
                <w:sz w:val="28"/>
              </w:rPr>
              <w:t>S</w:t>
            </w:r>
            <w:r w:rsidR="0063785C">
              <w:rPr>
                <w:b/>
                <w:sz w:val="28"/>
              </w:rPr>
              <w:t>A</w:t>
            </w:r>
            <w:r w:rsidR="00D178E7" w:rsidRPr="000C74F3">
              <w:rPr>
                <w:b/>
                <w:sz w:val="28"/>
              </w:rPr>
              <w:t xml:space="preserve"> Documentation Required </w:t>
            </w:r>
          </w:p>
        </w:tc>
        <w:tc>
          <w:tcPr>
            <w:tcW w:w="3164" w:type="dxa"/>
            <w:gridSpan w:val="2"/>
            <w:shd w:val="clear" w:color="auto" w:fill="BFBFBF" w:themeFill="background1" w:themeFillShade="BF"/>
          </w:tcPr>
          <w:p w14:paraId="7AFA4BAD" w14:textId="77777777" w:rsidR="00D178E7" w:rsidRDefault="00D178E7" w:rsidP="009D64A2">
            <w:pPr>
              <w:tabs>
                <w:tab w:val="left" w:pos="675"/>
                <w:tab w:val="center" w:pos="1339"/>
              </w:tabs>
              <w:rPr>
                <w:b/>
                <w:sz w:val="20"/>
              </w:rPr>
            </w:pPr>
            <w:r>
              <w:rPr>
                <w:b/>
                <w:sz w:val="20"/>
              </w:rPr>
              <w:tab/>
            </w:r>
            <w:r>
              <w:rPr>
                <w:b/>
                <w:sz w:val="20"/>
              </w:rPr>
              <w:tab/>
              <w:t xml:space="preserve">Office use only </w:t>
            </w:r>
          </w:p>
        </w:tc>
      </w:tr>
      <w:tr w:rsidR="00D178E7" w14:paraId="31599718" w14:textId="77777777" w:rsidTr="00D178E7">
        <w:tc>
          <w:tcPr>
            <w:tcW w:w="6480" w:type="dxa"/>
            <w:vMerge/>
            <w:shd w:val="clear" w:color="auto" w:fill="BFBFBF" w:themeFill="background1" w:themeFillShade="BF"/>
          </w:tcPr>
          <w:p w14:paraId="23A5058A" w14:textId="77777777" w:rsidR="00D178E7" w:rsidRPr="000C74F3" w:rsidRDefault="00D178E7" w:rsidP="00747DF3">
            <w:pPr>
              <w:jc w:val="center"/>
              <w:rPr>
                <w:b/>
                <w:sz w:val="28"/>
              </w:rPr>
            </w:pPr>
          </w:p>
        </w:tc>
        <w:tc>
          <w:tcPr>
            <w:tcW w:w="1620" w:type="dxa"/>
            <w:shd w:val="clear" w:color="auto" w:fill="BFBFBF" w:themeFill="background1" w:themeFillShade="BF"/>
          </w:tcPr>
          <w:p w14:paraId="0CD23589" w14:textId="77777777" w:rsidR="00D178E7" w:rsidRDefault="00D178E7" w:rsidP="00747DF3">
            <w:pPr>
              <w:jc w:val="center"/>
              <w:rPr>
                <w:b/>
                <w:sz w:val="20"/>
              </w:rPr>
            </w:pPr>
            <w:r>
              <w:rPr>
                <w:b/>
                <w:sz w:val="20"/>
              </w:rPr>
              <w:t>Customer Service Officer (tick)</w:t>
            </w:r>
          </w:p>
        </w:tc>
        <w:tc>
          <w:tcPr>
            <w:tcW w:w="1544" w:type="dxa"/>
            <w:shd w:val="clear" w:color="auto" w:fill="BFBFBF" w:themeFill="background1" w:themeFillShade="BF"/>
          </w:tcPr>
          <w:p w14:paraId="775C774C" w14:textId="77777777" w:rsidR="00D178E7" w:rsidRDefault="00D178E7" w:rsidP="00747DF3">
            <w:pPr>
              <w:jc w:val="center"/>
              <w:rPr>
                <w:b/>
                <w:sz w:val="20"/>
              </w:rPr>
            </w:pPr>
            <w:r>
              <w:rPr>
                <w:b/>
                <w:sz w:val="20"/>
              </w:rPr>
              <w:t xml:space="preserve">Course </w:t>
            </w:r>
            <w:proofErr w:type="gramStart"/>
            <w:r>
              <w:rPr>
                <w:b/>
                <w:sz w:val="20"/>
              </w:rPr>
              <w:t>Coordinator  (</w:t>
            </w:r>
            <w:proofErr w:type="gramEnd"/>
            <w:r>
              <w:rPr>
                <w:b/>
                <w:sz w:val="20"/>
              </w:rPr>
              <w:t>Initials)</w:t>
            </w:r>
          </w:p>
        </w:tc>
      </w:tr>
      <w:tr w:rsidR="00D178E7" w14:paraId="1B9878DA" w14:textId="77777777" w:rsidTr="00D178E7">
        <w:tc>
          <w:tcPr>
            <w:tcW w:w="6480" w:type="dxa"/>
            <w:vAlign w:val="center"/>
          </w:tcPr>
          <w:p w14:paraId="1ABF77AD" w14:textId="5C565116" w:rsidR="00D178E7" w:rsidRPr="009500ED" w:rsidRDefault="00D178E7" w:rsidP="009500ED">
            <w:pPr>
              <w:pStyle w:val="ListParagraph"/>
              <w:numPr>
                <w:ilvl w:val="0"/>
                <w:numId w:val="5"/>
              </w:numPr>
              <w:rPr>
                <w:szCs w:val="24"/>
              </w:rPr>
            </w:pPr>
            <w:r w:rsidRPr="009500ED">
              <w:rPr>
                <w:szCs w:val="24"/>
              </w:rPr>
              <w:t>Student ID Card</w:t>
            </w:r>
            <w:r w:rsidR="00843E64" w:rsidRPr="009500ED">
              <w:rPr>
                <w:szCs w:val="24"/>
              </w:rPr>
              <w:t xml:space="preserve"> (Head Shot Photo)</w:t>
            </w:r>
          </w:p>
        </w:tc>
        <w:tc>
          <w:tcPr>
            <w:tcW w:w="1620" w:type="dxa"/>
          </w:tcPr>
          <w:p w14:paraId="3E5EEF54" w14:textId="23571C71" w:rsidR="00D178E7" w:rsidRPr="004F0619" w:rsidRDefault="00D178E7" w:rsidP="00747DF3">
            <w:pPr>
              <w:jc w:val="center"/>
              <w:rPr>
                <w:b/>
                <w:sz w:val="40"/>
              </w:rPr>
            </w:pPr>
          </w:p>
        </w:tc>
        <w:tc>
          <w:tcPr>
            <w:tcW w:w="1544" w:type="dxa"/>
          </w:tcPr>
          <w:p w14:paraId="5B104E4B" w14:textId="77777777" w:rsidR="00D178E7" w:rsidRDefault="00D178E7" w:rsidP="00747DF3">
            <w:pPr>
              <w:rPr>
                <w:b/>
                <w:sz w:val="20"/>
              </w:rPr>
            </w:pPr>
          </w:p>
        </w:tc>
      </w:tr>
      <w:tr w:rsidR="00D178E7" w14:paraId="7E32B012" w14:textId="77777777" w:rsidTr="00D178E7">
        <w:tc>
          <w:tcPr>
            <w:tcW w:w="6480" w:type="dxa"/>
            <w:vAlign w:val="center"/>
          </w:tcPr>
          <w:p w14:paraId="6E4D3372" w14:textId="4E029AEC" w:rsidR="00D178E7" w:rsidRPr="009500ED" w:rsidRDefault="00D178E7" w:rsidP="009500ED">
            <w:pPr>
              <w:pStyle w:val="ListParagraph"/>
              <w:numPr>
                <w:ilvl w:val="0"/>
                <w:numId w:val="5"/>
              </w:numPr>
              <w:rPr>
                <w:szCs w:val="24"/>
              </w:rPr>
            </w:pPr>
            <w:r w:rsidRPr="009500ED">
              <w:rPr>
                <w:szCs w:val="24"/>
              </w:rPr>
              <w:t>Australian Police Check (must be less than 12 months old)</w:t>
            </w:r>
          </w:p>
        </w:tc>
        <w:tc>
          <w:tcPr>
            <w:tcW w:w="1620" w:type="dxa"/>
          </w:tcPr>
          <w:p w14:paraId="22BB90C8" w14:textId="2DAB653A" w:rsidR="00D178E7" w:rsidRPr="004F0619" w:rsidRDefault="00D178E7" w:rsidP="00747DF3">
            <w:pPr>
              <w:jc w:val="center"/>
              <w:rPr>
                <w:b/>
                <w:sz w:val="40"/>
              </w:rPr>
            </w:pPr>
          </w:p>
        </w:tc>
        <w:tc>
          <w:tcPr>
            <w:tcW w:w="1544" w:type="dxa"/>
          </w:tcPr>
          <w:p w14:paraId="10ADFF95" w14:textId="77777777" w:rsidR="00D178E7" w:rsidRDefault="00D178E7" w:rsidP="00747DF3">
            <w:pPr>
              <w:rPr>
                <w:b/>
                <w:sz w:val="20"/>
              </w:rPr>
            </w:pPr>
          </w:p>
        </w:tc>
      </w:tr>
      <w:tr w:rsidR="009500ED" w14:paraId="7CE56CFA" w14:textId="77777777" w:rsidTr="00D178E7">
        <w:tc>
          <w:tcPr>
            <w:tcW w:w="6480" w:type="dxa"/>
            <w:vAlign w:val="center"/>
          </w:tcPr>
          <w:p w14:paraId="2F7EBB8B" w14:textId="025706E8" w:rsidR="009500ED" w:rsidRPr="009500ED" w:rsidRDefault="009500ED" w:rsidP="009500ED">
            <w:pPr>
              <w:pStyle w:val="ListParagraph"/>
              <w:numPr>
                <w:ilvl w:val="0"/>
                <w:numId w:val="5"/>
              </w:numPr>
              <w:rPr>
                <w:szCs w:val="24"/>
              </w:rPr>
            </w:pPr>
            <w:r>
              <w:rPr>
                <w:szCs w:val="24"/>
              </w:rPr>
              <w:t>Screening Check: W</w:t>
            </w:r>
            <w:r w:rsidR="00D67AD8">
              <w:rPr>
                <w:szCs w:val="24"/>
              </w:rPr>
              <w:t xml:space="preserve">orking </w:t>
            </w:r>
            <w:r>
              <w:rPr>
                <w:szCs w:val="24"/>
              </w:rPr>
              <w:t>W</w:t>
            </w:r>
            <w:r w:rsidR="00D67AD8">
              <w:rPr>
                <w:szCs w:val="24"/>
              </w:rPr>
              <w:t xml:space="preserve">ith </w:t>
            </w:r>
            <w:r>
              <w:rPr>
                <w:szCs w:val="24"/>
              </w:rPr>
              <w:t>C</w:t>
            </w:r>
            <w:r w:rsidR="00D67AD8">
              <w:rPr>
                <w:szCs w:val="24"/>
              </w:rPr>
              <w:t xml:space="preserve">hildren </w:t>
            </w:r>
            <w:r>
              <w:rPr>
                <w:szCs w:val="24"/>
              </w:rPr>
              <w:t>C</w:t>
            </w:r>
            <w:r w:rsidR="00D67AD8">
              <w:rPr>
                <w:szCs w:val="24"/>
              </w:rPr>
              <w:t>heck</w:t>
            </w:r>
            <w:r w:rsidR="00BE5003">
              <w:rPr>
                <w:szCs w:val="24"/>
              </w:rPr>
              <w:t xml:space="preserve"> and</w:t>
            </w:r>
            <w:r>
              <w:rPr>
                <w:szCs w:val="24"/>
              </w:rPr>
              <w:t xml:space="preserve"> NDIS</w:t>
            </w:r>
          </w:p>
        </w:tc>
        <w:tc>
          <w:tcPr>
            <w:tcW w:w="1620" w:type="dxa"/>
          </w:tcPr>
          <w:p w14:paraId="2BEDA31B" w14:textId="77777777" w:rsidR="009500ED" w:rsidRPr="004F0619" w:rsidRDefault="009500ED" w:rsidP="00747DF3">
            <w:pPr>
              <w:jc w:val="center"/>
              <w:rPr>
                <w:b/>
                <w:sz w:val="40"/>
              </w:rPr>
            </w:pPr>
          </w:p>
        </w:tc>
        <w:tc>
          <w:tcPr>
            <w:tcW w:w="1544" w:type="dxa"/>
          </w:tcPr>
          <w:p w14:paraId="569713F4" w14:textId="77777777" w:rsidR="009500ED" w:rsidRDefault="009500ED" w:rsidP="00747DF3">
            <w:pPr>
              <w:rPr>
                <w:b/>
                <w:sz w:val="20"/>
              </w:rPr>
            </w:pPr>
          </w:p>
        </w:tc>
      </w:tr>
      <w:tr w:rsidR="009500ED" w14:paraId="3B567DCF" w14:textId="77777777" w:rsidTr="00D178E7">
        <w:tc>
          <w:tcPr>
            <w:tcW w:w="6480" w:type="dxa"/>
            <w:vAlign w:val="center"/>
          </w:tcPr>
          <w:p w14:paraId="08FBF7B4" w14:textId="62979781" w:rsidR="009500ED" w:rsidRDefault="009500ED" w:rsidP="009500ED">
            <w:pPr>
              <w:pStyle w:val="ListParagraph"/>
              <w:numPr>
                <w:ilvl w:val="0"/>
                <w:numId w:val="5"/>
              </w:numPr>
              <w:rPr>
                <w:szCs w:val="24"/>
              </w:rPr>
            </w:pPr>
            <w:r>
              <w:rPr>
                <w:szCs w:val="24"/>
              </w:rPr>
              <w:t>Mask fit test</w:t>
            </w:r>
          </w:p>
        </w:tc>
        <w:tc>
          <w:tcPr>
            <w:tcW w:w="1620" w:type="dxa"/>
          </w:tcPr>
          <w:p w14:paraId="455A7474" w14:textId="77777777" w:rsidR="009500ED" w:rsidRPr="004F0619" w:rsidRDefault="009500ED" w:rsidP="00747DF3">
            <w:pPr>
              <w:jc w:val="center"/>
              <w:rPr>
                <w:b/>
                <w:sz w:val="40"/>
              </w:rPr>
            </w:pPr>
          </w:p>
        </w:tc>
        <w:tc>
          <w:tcPr>
            <w:tcW w:w="1544" w:type="dxa"/>
          </w:tcPr>
          <w:p w14:paraId="3A326B98" w14:textId="77777777" w:rsidR="009500ED" w:rsidRDefault="009500ED" w:rsidP="00747DF3">
            <w:pPr>
              <w:rPr>
                <w:b/>
                <w:sz w:val="20"/>
              </w:rPr>
            </w:pPr>
          </w:p>
        </w:tc>
      </w:tr>
      <w:tr w:rsidR="009500ED" w14:paraId="0B7E5E8C" w14:textId="77777777" w:rsidTr="00D178E7">
        <w:tc>
          <w:tcPr>
            <w:tcW w:w="6480" w:type="dxa"/>
            <w:vAlign w:val="center"/>
          </w:tcPr>
          <w:p w14:paraId="50B9AC01" w14:textId="3217F995" w:rsidR="009500ED" w:rsidRPr="009500ED" w:rsidRDefault="00BE5003" w:rsidP="009500ED">
            <w:pPr>
              <w:pStyle w:val="ListParagraph"/>
              <w:numPr>
                <w:ilvl w:val="0"/>
                <w:numId w:val="5"/>
              </w:numPr>
            </w:pPr>
            <w:r w:rsidRPr="00D67AD8">
              <w:rPr>
                <w:rFonts w:cstheme="minorHAnsi"/>
              </w:rPr>
              <w:t xml:space="preserve">Diphtheria </w:t>
            </w:r>
            <w:r>
              <w:rPr>
                <w:rFonts w:cstheme="minorHAnsi"/>
              </w:rPr>
              <w:t xml:space="preserve">Tetanus and </w:t>
            </w:r>
            <w:r w:rsidRPr="00D67AD8">
              <w:rPr>
                <w:rFonts w:cstheme="minorHAnsi"/>
              </w:rPr>
              <w:t>Pertussis</w:t>
            </w:r>
            <w:r>
              <w:rPr>
                <w:rFonts w:cstheme="minorHAnsi"/>
              </w:rPr>
              <w:t xml:space="preserve"> (</w:t>
            </w:r>
            <w:proofErr w:type="spellStart"/>
            <w:r>
              <w:rPr>
                <w:rFonts w:cstheme="minorHAnsi"/>
              </w:rPr>
              <w:t>DTPa</w:t>
            </w:r>
            <w:proofErr w:type="spellEnd"/>
            <w:r>
              <w:rPr>
                <w:rFonts w:cstheme="minorHAnsi"/>
              </w:rPr>
              <w:t>)</w:t>
            </w:r>
          </w:p>
        </w:tc>
        <w:tc>
          <w:tcPr>
            <w:tcW w:w="1620" w:type="dxa"/>
          </w:tcPr>
          <w:p w14:paraId="7E0886B0" w14:textId="77777777" w:rsidR="009500ED" w:rsidRPr="004F0619" w:rsidRDefault="009500ED" w:rsidP="00747DF3">
            <w:pPr>
              <w:jc w:val="center"/>
              <w:rPr>
                <w:b/>
                <w:sz w:val="40"/>
              </w:rPr>
            </w:pPr>
          </w:p>
        </w:tc>
        <w:tc>
          <w:tcPr>
            <w:tcW w:w="1544" w:type="dxa"/>
          </w:tcPr>
          <w:p w14:paraId="28241675" w14:textId="77777777" w:rsidR="009500ED" w:rsidRDefault="009500ED" w:rsidP="00747DF3">
            <w:pPr>
              <w:rPr>
                <w:b/>
                <w:sz w:val="20"/>
              </w:rPr>
            </w:pPr>
          </w:p>
        </w:tc>
      </w:tr>
      <w:tr w:rsidR="009500ED" w14:paraId="52A61127" w14:textId="77777777" w:rsidTr="00D178E7">
        <w:tc>
          <w:tcPr>
            <w:tcW w:w="6480" w:type="dxa"/>
            <w:vAlign w:val="center"/>
          </w:tcPr>
          <w:p w14:paraId="7561B0DE" w14:textId="66578F7C" w:rsidR="009500ED" w:rsidRPr="002F1AD1" w:rsidRDefault="009500ED" w:rsidP="009500ED">
            <w:pPr>
              <w:pStyle w:val="ListParagraph"/>
              <w:numPr>
                <w:ilvl w:val="0"/>
                <w:numId w:val="5"/>
              </w:numPr>
            </w:pPr>
            <w:r w:rsidRPr="002F1AD1">
              <w:t>Hepatitis B</w:t>
            </w:r>
          </w:p>
        </w:tc>
        <w:tc>
          <w:tcPr>
            <w:tcW w:w="1620" w:type="dxa"/>
          </w:tcPr>
          <w:p w14:paraId="3FCB27AA" w14:textId="77777777" w:rsidR="009500ED" w:rsidRPr="004F0619" w:rsidRDefault="009500ED" w:rsidP="00747DF3">
            <w:pPr>
              <w:jc w:val="center"/>
              <w:rPr>
                <w:b/>
                <w:sz w:val="40"/>
              </w:rPr>
            </w:pPr>
          </w:p>
        </w:tc>
        <w:tc>
          <w:tcPr>
            <w:tcW w:w="1544" w:type="dxa"/>
          </w:tcPr>
          <w:p w14:paraId="6FBD77B3" w14:textId="77777777" w:rsidR="009500ED" w:rsidRDefault="009500ED" w:rsidP="00747DF3">
            <w:pPr>
              <w:rPr>
                <w:b/>
                <w:sz w:val="20"/>
              </w:rPr>
            </w:pPr>
          </w:p>
        </w:tc>
      </w:tr>
      <w:tr w:rsidR="009500ED" w14:paraId="5600658E" w14:textId="77777777" w:rsidTr="00D178E7">
        <w:tc>
          <w:tcPr>
            <w:tcW w:w="6480" w:type="dxa"/>
            <w:vAlign w:val="center"/>
          </w:tcPr>
          <w:p w14:paraId="5F9919A9" w14:textId="7C4E3FF1" w:rsidR="009500ED" w:rsidRPr="002F1AD1" w:rsidRDefault="009500ED" w:rsidP="009500ED">
            <w:pPr>
              <w:pStyle w:val="ListParagraph"/>
              <w:numPr>
                <w:ilvl w:val="0"/>
                <w:numId w:val="5"/>
              </w:numPr>
            </w:pPr>
            <w:r w:rsidRPr="002F1AD1">
              <w:t>Measles, Mumps and Rubella</w:t>
            </w:r>
          </w:p>
        </w:tc>
        <w:tc>
          <w:tcPr>
            <w:tcW w:w="1620" w:type="dxa"/>
          </w:tcPr>
          <w:p w14:paraId="0F7A55B8" w14:textId="77777777" w:rsidR="009500ED" w:rsidRPr="004F0619" w:rsidRDefault="009500ED" w:rsidP="00747DF3">
            <w:pPr>
              <w:jc w:val="center"/>
              <w:rPr>
                <w:b/>
                <w:sz w:val="40"/>
              </w:rPr>
            </w:pPr>
          </w:p>
        </w:tc>
        <w:tc>
          <w:tcPr>
            <w:tcW w:w="1544" w:type="dxa"/>
          </w:tcPr>
          <w:p w14:paraId="633727D8" w14:textId="77777777" w:rsidR="009500ED" w:rsidRDefault="009500ED" w:rsidP="00747DF3">
            <w:pPr>
              <w:rPr>
                <w:b/>
                <w:sz w:val="20"/>
              </w:rPr>
            </w:pPr>
          </w:p>
        </w:tc>
      </w:tr>
      <w:tr w:rsidR="009500ED" w14:paraId="20F3F795" w14:textId="77777777" w:rsidTr="00D178E7">
        <w:tc>
          <w:tcPr>
            <w:tcW w:w="6480" w:type="dxa"/>
            <w:vAlign w:val="center"/>
          </w:tcPr>
          <w:p w14:paraId="3ED36844" w14:textId="0C472816" w:rsidR="009500ED" w:rsidRPr="002F1AD1" w:rsidRDefault="009500ED" w:rsidP="009500ED">
            <w:pPr>
              <w:pStyle w:val="ListParagraph"/>
              <w:numPr>
                <w:ilvl w:val="0"/>
                <w:numId w:val="5"/>
              </w:numPr>
            </w:pPr>
            <w:r w:rsidRPr="002F1AD1">
              <w:t xml:space="preserve">Varicella </w:t>
            </w:r>
          </w:p>
        </w:tc>
        <w:tc>
          <w:tcPr>
            <w:tcW w:w="1620" w:type="dxa"/>
          </w:tcPr>
          <w:p w14:paraId="4F53C055" w14:textId="77777777" w:rsidR="009500ED" w:rsidRPr="004F0619" w:rsidRDefault="009500ED" w:rsidP="00747DF3">
            <w:pPr>
              <w:jc w:val="center"/>
              <w:rPr>
                <w:b/>
                <w:sz w:val="40"/>
              </w:rPr>
            </w:pPr>
          </w:p>
        </w:tc>
        <w:tc>
          <w:tcPr>
            <w:tcW w:w="1544" w:type="dxa"/>
          </w:tcPr>
          <w:p w14:paraId="5B066F98" w14:textId="77777777" w:rsidR="009500ED" w:rsidRDefault="009500ED" w:rsidP="00747DF3">
            <w:pPr>
              <w:rPr>
                <w:b/>
                <w:sz w:val="20"/>
              </w:rPr>
            </w:pPr>
          </w:p>
        </w:tc>
      </w:tr>
      <w:tr w:rsidR="009500ED" w14:paraId="0D8E5FB2" w14:textId="77777777" w:rsidTr="00D178E7">
        <w:tc>
          <w:tcPr>
            <w:tcW w:w="6480" w:type="dxa"/>
            <w:vAlign w:val="center"/>
          </w:tcPr>
          <w:p w14:paraId="199CE6A9" w14:textId="26438143" w:rsidR="009500ED" w:rsidRPr="002F1AD1" w:rsidRDefault="009500ED" w:rsidP="009500ED">
            <w:pPr>
              <w:pStyle w:val="ListParagraph"/>
              <w:numPr>
                <w:ilvl w:val="0"/>
                <w:numId w:val="5"/>
              </w:numPr>
            </w:pPr>
            <w:r w:rsidRPr="002F1AD1">
              <w:t xml:space="preserve">Influenza </w:t>
            </w:r>
            <w:r w:rsidR="00D67AD8">
              <w:t>(seasonal)</w:t>
            </w:r>
          </w:p>
        </w:tc>
        <w:tc>
          <w:tcPr>
            <w:tcW w:w="1620" w:type="dxa"/>
          </w:tcPr>
          <w:p w14:paraId="3349AA4D" w14:textId="77777777" w:rsidR="009500ED" w:rsidRPr="004F0619" w:rsidRDefault="009500ED" w:rsidP="00747DF3">
            <w:pPr>
              <w:jc w:val="center"/>
              <w:rPr>
                <w:b/>
                <w:sz w:val="40"/>
              </w:rPr>
            </w:pPr>
          </w:p>
        </w:tc>
        <w:tc>
          <w:tcPr>
            <w:tcW w:w="1544" w:type="dxa"/>
          </w:tcPr>
          <w:p w14:paraId="2C171BB3" w14:textId="77777777" w:rsidR="009500ED" w:rsidRDefault="009500ED" w:rsidP="00747DF3">
            <w:pPr>
              <w:rPr>
                <w:b/>
                <w:sz w:val="20"/>
              </w:rPr>
            </w:pPr>
          </w:p>
        </w:tc>
      </w:tr>
      <w:tr w:rsidR="00D178E7" w14:paraId="4FBBC378" w14:textId="77777777" w:rsidTr="00D178E7">
        <w:tc>
          <w:tcPr>
            <w:tcW w:w="6480" w:type="dxa"/>
            <w:vAlign w:val="center"/>
          </w:tcPr>
          <w:p w14:paraId="2DBD6AC9" w14:textId="2489781F" w:rsidR="00D178E7" w:rsidRPr="00D178E7" w:rsidRDefault="009500ED" w:rsidP="009500ED">
            <w:pPr>
              <w:pStyle w:val="ListParagraph"/>
              <w:numPr>
                <w:ilvl w:val="0"/>
                <w:numId w:val="5"/>
              </w:numPr>
            </w:pPr>
            <w:r>
              <w:t>T</w:t>
            </w:r>
            <w:r w:rsidR="002F1AD1" w:rsidRPr="002F1AD1">
              <w:t>uberculosis assessment</w:t>
            </w:r>
          </w:p>
        </w:tc>
        <w:tc>
          <w:tcPr>
            <w:tcW w:w="1620" w:type="dxa"/>
          </w:tcPr>
          <w:p w14:paraId="56B66248" w14:textId="4415CB25" w:rsidR="00D178E7" w:rsidRPr="0063785C" w:rsidRDefault="00D178E7" w:rsidP="00991FBF">
            <w:pPr>
              <w:pStyle w:val="ListParagraph"/>
              <w:rPr>
                <w:b/>
                <w:sz w:val="40"/>
              </w:rPr>
            </w:pPr>
          </w:p>
        </w:tc>
        <w:tc>
          <w:tcPr>
            <w:tcW w:w="1544" w:type="dxa"/>
          </w:tcPr>
          <w:p w14:paraId="2DE54604" w14:textId="77777777" w:rsidR="00D178E7" w:rsidRDefault="00D178E7" w:rsidP="001A28CA">
            <w:pPr>
              <w:rPr>
                <w:b/>
                <w:sz w:val="20"/>
              </w:rPr>
            </w:pPr>
          </w:p>
        </w:tc>
      </w:tr>
      <w:tr w:rsidR="00D178E7" w14:paraId="33030091" w14:textId="77777777" w:rsidTr="00D178E7">
        <w:tc>
          <w:tcPr>
            <w:tcW w:w="6480" w:type="dxa"/>
            <w:vAlign w:val="center"/>
          </w:tcPr>
          <w:p w14:paraId="42292F47" w14:textId="210AACA4" w:rsidR="00D178E7" w:rsidRPr="009500ED" w:rsidRDefault="00D178E7" w:rsidP="009500ED">
            <w:pPr>
              <w:pStyle w:val="ListParagraph"/>
              <w:numPr>
                <w:ilvl w:val="0"/>
                <w:numId w:val="5"/>
              </w:numPr>
              <w:rPr>
                <w:szCs w:val="24"/>
              </w:rPr>
            </w:pPr>
            <w:r w:rsidRPr="009500ED">
              <w:rPr>
                <w:szCs w:val="24"/>
              </w:rPr>
              <w:t>Proof of COVID-19 Vaccination</w:t>
            </w:r>
            <w:r w:rsidR="00D67AD8">
              <w:rPr>
                <w:szCs w:val="24"/>
              </w:rPr>
              <w:t xml:space="preserve"> (</w:t>
            </w:r>
            <w:r w:rsidR="006D3FAB">
              <w:rPr>
                <w:szCs w:val="24"/>
              </w:rPr>
              <w:t>3</w:t>
            </w:r>
            <w:r w:rsidR="00D67AD8">
              <w:rPr>
                <w:szCs w:val="24"/>
              </w:rPr>
              <w:t xml:space="preserve"> dose)</w:t>
            </w:r>
          </w:p>
        </w:tc>
        <w:tc>
          <w:tcPr>
            <w:tcW w:w="1620" w:type="dxa"/>
          </w:tcPr>
          <w:p w14:paraId="41078970" w14:textId="19B807F4" w:rsidR="00D178E7" w:rsidRPr="0063785C" w:rsidRDefault="00D178E7" w:rsidP="00991FBF">
            <w:pPr>
              <w:pStyle w:val="ListParagraph"/>
              <w:rPr>
                <w:b/>
                <w:sz w:val="40"/>
              </w:rPr>
            </w:pPr>
          </w:p>
        </w:tc>
        <w:tc>
          <w:tcPr>
            <w:tcW w:w="1544" w:type="dxa"/>
          </w:tcPr>
          <w:p w14:paraId="593074F0" w14:textId="77777777" w:rsidR="00D178E7" w:rsidRDefault="00D178E7" w:rsidP="001A28CA">
            <w:pPr>
              <w:rPr>
                <w:b/>
                <w:sz w:val="20"/>
              </w:rPr>
            </w:pPr>
          </w:p>
        </w:tc>
      </w:tr>
      <w:tr w:rsidR="00BE5003" w14:paraId="2BBC7B0F" w14:textId="77777777" w:rsidTr="00D178E7">
        <w:tc>
          <w:tcPr>
            <w:tcW w:w="6480" w:type="dxa"/>
            <w:vAlign w:val="center"/>
          </w:tcPr>
          <w:p w14:paraId="4E11B62E" w14:textId="6C547C31" w:rsidR="00BE5003" w:rsidRPr="009500ED" w:rsidRDefault="00BE5003" w:rsidP="009500ED">
            <w:pPr>
              <w:pStyle w:val="ListParagraph"/>
              <w:numPr>
                <w:ilvl w:val="0"/>
                <w:numId w:val="5"/>
              </w:numPr>
              <w:rPr>
                <w:szCs w:val="24"/>
              </w:rPr>
            </w:pPr>
            <w:r>
              <w:t>Poliomyelitis</w:t>
            </w:r>
          </w:p>
        </w:tc>
        <w:tc>
          <w:tcPr>
            <w:tcW w:w="1620" w:type="dxa"/>
          </w:tcPr>
          <w:p w14:paraId="1886D9A2" w14:textId="77777777" w:rsidR="00BE5003" w:rsidRPr="0063785C" w:rsidRDefault="00BE5003" w:rsidP="00991FBF">
            <w:pPr>
              <w:pStyle w:val="ListParagraph"/>
              <w:rPr>
                <w:b/>
                <w:sz w:val="40"/>
              </w:rPr>
            </w:pPr>
          </w:p>
        </w:tc>
        <w:tc>
          <w:tcPr>
            <w:tcW w:w="1544" w:type="dxa"/>
          </w:tcPr>
          <w:p w14:paraId="0857CF68" w14:textId="77777777" w:rsidR="00BE5003" w:rsidRDefault="00BE5003" w:rsidP="001A28CA">
            <w:pPr>
              <w:rPr>
                <w:b/>
                <w:sz w:val="20"/>
              </w:rPr>
            </w:pPr>
          </w:p>
        </w:tc>
      </w:tr>
      <w:tr w:rsidR="00BE5003" w14:paraId="66AE7F81" w14:textId="77777777" w:rsidTr="00D178E7">
        <w:tc>
          <w:tcPr>
            <w:tcW w:w="6480" w:type="dxa"/>
            <w:vAlign w:val="center"/>
          </w:tcPr>
          <w:p w14:paraId="7BB8A1FE" w14:textId="77777777" w:rsidR="00BE5003" w:rsidRDefault="00BE5003" w:rsidP="009500ED">
            <w:pPr>
              <w:pStyle w:val="ListParagraph"/>
              <w:numPr>
                <w:ilvl w:val="0"/>
                <w:numId w:val="5"/>
              </w:numPr>
              <w:rPr>
                <w:szCs w:val="24"/>
              </w:rPr>
            </w:pPr>
            <w:r>
              <w:rPr>
                <w:szCs w:val="24"/>
              </w:rPr>
              <w:t>Hepatitis A* (recommended)</w:t>
            </w:r>
          </w:p>
          <w:p w14:paraId="125ED5F0" w14:textId="5740BA08" w:rsidR="00BE5003" w:rsidRPr="00BE5003" w:rsidRDefault="00BE5003" w:rsidP="00BE5003">
            <w:pPr>
              <w:ind w:left="360"/>
              <w:rPr>
                <w:i/>
                <w:iCs/>
                <w:sz w:val="18"/>
                <w:szCs w:val="18"/>
              </w:rPr>
            </w:pPr>
            <w:r w:rsidRPr="00BE5003">
              <w:rPr>
                <w:i/>
                <w:iCs/>
                <w:sz w:val="18"/>
                <w:szCs w:val="18"/>
              </w:rPr>
              <w:t>*Hepatitis A is only recommended for students working in Indigenous communities or with Indigenous children, and for carers of people with developmental disabilities. Discuss with your medical practitioner if you are concerned</w:t>
            </w:r>
            <w:r w:rsidRPr="00BE5003">
              <w:rPr>
                <w:i/>
                <w:iCs/>
                <w:sz w:val="18"/>
                <w:szCs w:val="18"/>
              </w:rPr>
              <w:t xml:space="preserve">. </w:t>
            </w:r>
          </w:p>
        </w:tc>
        <w:tc>
          <w:tcPr>
            <w:tcW w:w="1620" w:type="dxa"/>
          </w:tcPr>
          <w:p w14:paraId="5B4208D1" w14:textId="77777777" w:rsidR="00BE5003" w:rsidRPr="0063785C" w:rsidRDefault="00BE5003" w:rsidP="00991FBF">
            <w:pPr>
              <w:pStyle w:val="ListParagraph"/>
              <w:rPr>
                <w:b/>
                <w:sz w:val="40"/>
              </w:rPr>
            </w:pPr>
          </w:p>
        </w:tc>
        <w:tc>
          <w:tcPr>
            <w:tcW w:w="1544" w:type="dxa"/>
          </w:tcPr>
          <w:p w14:paraId="0F590F59" w14:textId="77777777" w:rsidR="00BE5003" w:rsidRDefault="00BE5003" w:rsidP="001A28CA">
            <w:pPr>
              <w:rPr>
                <w:b/>
                <w:sz w:val="20"/>
              </w:rPr>
            </w:pPr>
          </w:p>
        </w:tc>
      </w:tr>
      <w:tr w:rsidR="00026766" w14:paraId="65B12293" w14:textId="77777777" w:rsidTr="00D178E7">
        <w:tc>
          <w:tcPr>
            <w:tcW w:w="6480" w:type="dxa"/>
            <w:vAlign w:val="center"/>
          </w:tcPr>
          <w:p w14:paraId="6940FAD2" w14:textId="2C16DC58" w:rsidR="00026766" w:rsidRPr="00D67AD8" w:rsidRDefault="00BE4948" w:rsidP="00D67AD8">
            <w:pPr>
              <w:pStyle w:val="ListParagraph"/>
              <w:numPr>
                <w:ilvl w:val="0"/>
                <w:numId w:val="5"/>
              </w:numPr>
              <w:rPr>
                <w:szCs w:val="24"/>
              </w:rPr>
            </w:pPr>
            <w:r w:rsidRPr="00BE4948">
              <w:rPr>
                <w:b/>
                <w:bCs/>
                <w:i/>
                <w:iCs/>
                <w:szCs w:val="24"/>
              </w:rPr>
              <w:t>Before placement commences:</w:t>
            </w:r>
            <w:r>
              <w:rPr>
                <w:szCs w:val="24"/>
              </w:rPr>
              <w:t xml:space="preserve"> </w:t>
            </w:r>
            <w:r w:rsidR="00D67AD8">
              <w:rPr>
                <w:szCs w:val="24"/>
              </w:rPr>
              <w:t xml:space="preserve">EMR </w:t>
            </w:r>
            <w:r w:rsidR="00A008BF">
              <w:rPr>
                <w:szCs w:val="24"/>
              </w:rPr>
              <w:t>S</w:t>
            </w:r>
            <w:r w:rsidR="00D67AD8">
              <w:rPr>
                <w:szCs w:val="24"/>
              </w:rPr>
              <w:t xml:space="preserve">unrise </w:t>
            </w:r>
            <w:r w:rsidR="00281E26">
              <w:rPr>
                <w:szCs w:val="24"/>
              </w:rPr>
              <w:t>Online T</w:t>
            </w:r>
            <w:r w:rsidR="00D67AD8">
              <w:rPr>
                <w:szCs w:val="24"/>
              </w:rPr>
              <w:t>raining</w:t>
            </w:r>
          </w:p>
        </w:tc>
        <w:tc>
          <w:tcPr>
            <w:tcW w:w="1620" w:type="dxa"/>
          </w:tcPr>
          <w:p w14:paraId="7CE348B1" w14:textId="77777777" w:rsidR="00026766" w:rsidRPr="004F0619" w:rsidRDefault="00026766" w:rsidP="001A28CA">
            <w:pPr>
              <w:jc w:val="center"/>
              <w:rPr>
                <w:b/>
                <w:sz w:val="40"/>
              </w:rPr>
            </w:pPr>
          </w:p>
        </w:tc>
        <w:tc>
          <w:tcPr>
            <w:tcW w:w="1544" w:type="dxa"/>
          </w:tcPr>
          <w:p w14:paraId="3668988D" w14:textId="77777777" w:rsidR="00026766" w:rsidRDefault="00026766" w:rsidP="001A28CA">
            <w:pPr>
              <w:rPr>
                <w:b/>
                <w:sz w:val="20"/>
              </w:rPr>
            </w:pPr>
          </w:p>
        </w:tc>
      </w:tr>
    </w:tbl>
    <w:p w14:paraId="2870A864" w14:textId="77777777" w:rsidR="000C74F3" w:rsidRPr="000C74F3" w:rsidRDefault="000C74F3" w:rsidP="000C74F3">
      <w:pPr>
        <w:rPr>
          <w:b/>
          <w:sz w:val="20"/>
        </w:rPr>
      </w:pPr>
    </w:p>
    <w:p w14:paraId="04F8DF85" w14:textId="77777777" w:rsidR="000C74F3" w:rsidRDefault="000C74F3" w:rsidP="000C74F3">
      <w:pPr>
        <w:jc w:val="center"/>
        <w:rPr>
          <w:b/>
        </w:rPr>
      </w:pPr>
    </w:p>
    <w:p w14:paraId="261A4205" w14:textId="77777777" w:rsidR="009500ED" w:rsidRDefault="009500ED" w:rsidP="000C74F3">
      <w:pPr>
        <w:jc w:val="center"/>
        <w:rPr>
          <w:b/>
        </w:rPr>
      </w:pPr>
    </w:p>
    <w:p w14:paraId="68087D3D" w14:textId="77777777" w:rsidR="009500ED" w:rsidRDefault="009500ED" w:rsidP="000C74F3">
      <w:pPr>
        <w:jc w:val="center"/>
        <w:rPr>
          <w:b/>
        </w:rPr>
      </w:pPr>
    </w:p>
    <w:p w14:paraId="42A736A3" w14:textId="77777777" w:rsidR="009500ED" w:rsidRPr="00E367B9" w:rsidRDefault="009500ED" w:rsidP="009500ED">
      <w:pPr>
        <w:pStyle w:val="Heading1"/>
      </w:pPr>
      <w:r>
        <w:lastRenderedPageBreak/>
        <w:t xml:space="preserve">Clinical Placement Information </w:t>
      </w:r>
    </w:p>
    <w:p w14:paraId="23E7D878" w14:textId="77777777" w:rsidR="009500ED" w:rsidRPr="00E367B9" w:rsidRDefault="009500ED" w:rsidP="009500ED">
      <w:pPr>
        <w:pStyle w:val="NormalWeb"/>
        <w:spacing w:before="0" w:beforeAutospacing="0" w:after="0" w:afterAutospacing="0"/>
        <w:rPr>
          <w:rFonts w:asciiTheme="minorHAnsi" w:hAnsiTheme="minorHAnsi" w:cstheme="minorHAnsi"/>
          <w:b/>
          <w:bCs/>
          <w:sz w:val="22"/>
          <w:szCs w:val="22"/>
        </w:rPr>
      </w:pPr>
      <w:r w:rsidRPr="00E367B9">
        <w:rPr>
          <w:rFonts w:asciiTheme="minorHAnsi" w:hAnsiTheme="minorHAnsi" w:cstheme="minorHAnsi"/>
          <w:b/>
          <w:bCs/>
          <w:sz w:val="22"/>
          <w:szCs w:val="22"/>
        </w:rPr>
        <w:t xml:space="preserve">What is a Compliance Pack? </w:t>
      </w:r>
    </w:p>
    <w:p w14:paraId="1068317D"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A Compliance Pack is a PDF document containing all the items required by the State Health to become compliant for clinical placement.</w:t>
      </w:r>
    </w:p>
    <w:p w14:paraId="083F3D3D"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7D1D02CE"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What happens with my Compliance Pack?</w:t>
      </w:r>
    </w:p>
    <w:p w14:paraId="5D019B23" w14:textId="77777777" w:rsidR="009500ED" w:rsidRPr="00E367B9" w:rsidRDefault="009500ED" w:rsidP="009500ED">
      <w:pPr>
        <w:numPr>
          <w:ilvl w:val="0"/>
          <w:numId w:val="6"/>
        </w:numPr>
        <w:spacing w:after="0" w:line="240" w:lineRule="auto"/>
        <w:rPr>
          <w:rFonts w:cstheme="minorHAnsi"/>
        </w:rPr>
      </w:pPr>
      <w:r w:rsidRPr="00E367B9">
        <w:rPr>
          <w:rFonts w:cstheme="minorHAnsi"/>
        </w:rPr>
        <w:t>You</w:t>
      </w:r>
      <w:r>
        <w:rPr>
          <w:rFonts w:cstheme="minorHAnsi"/>
        </w:rPr>
        <w:t xml:space="preserve"> must </w:t>
      </w:r>
      <w:r w:rsidRPr="00E367B9">
        <w:rPr>
          <w:rFonts w:cstheme="minorHAnsi"/>
        </w:rPr>
        <w:t>comp</w:t>
      </w:r>
      <w:r>
        <w:rPr>
          <w:rFonts w:cstheme="minorHAnsi"/>
        </w:rPr>
        <w:t>ile</w:t>
      </w:r>
      <w:r w:rsidRPr="00E367B9">
        <w:rPr>
          <w:rFonts w:cstheme="minorHAnsi"/>
        </w:rPr>
        <w:t xml:space="preserve"> the pack and </w:t>
      </w:r>
      <w:r>
        <w:rPr>
          <w:rFonts w:cstheme="minorHAnsi"/>
        </w:rPr>
        <w:t>send</w:t>
      </w:r>
      <w:r w:rsidRPr="00E367B9">
        <w:rPr>
          <w:rFonts w:cstheme="minorHAnsi"/>
        </w:rPr>
        <w:t xml:space="preserve"> it to </w:t>
      </w:r>
      <w:r w:rsidRPr="00E367B9">
        <w:rPr>
          <w:rFonts w:cstheme="minorHAnsi"/>
          <w:b/>
          <w:bCs/>
        </w:rPr>
        <w:t>clinicalplacement@acn.edu.au</w:t>
      </w:r>
    </w:p>
    <w:p w14:paraId="21A962C3" w14:textId="77777777" w:rsidR="009500ED" w:rsidRPr="00E367B9" w:rsidRDefault="009500ED" w:rsidP="009500ED">
      <w:pPr>
        <w:numPr>
          <w:ilvl w:val="0"/>
          <w:numId w:val="6"/>
        </w:numPr>
        <w:spacing w:after="0" w:line="240" w:lineRule="auto"/>
        <w:rPr>
          <w:rFonts w:cstheme="minorHAnsi"/>
        </w:rPr>
      </w:pPr>
      <w:r w:rsidRPr="00E367B9">
        <w:rPr>
          <w:rFonts w:cstheme="minorHAnsi"/>
        </w:rPr>
        <w:t>It is reviewed by ACN to ensure it meets the requirements. If it does not, it will be sent back to you to amend.</w:t>
      </w:r>
    </w:p>
    <w:p w14:paraId="7A3E8C88" w14:textId="77777777" w:rsidR="009500ED" w:rsidRPr="00E367B9" w:rsidRDefault="009500ED" w:rsidP="009500ED">
      <w:pPr>
        <w:numPr>
          <w:ilvl w:val="0"/>
          <w:numId w:val="6"/>
        </w:numPr>
        <w:spacing w:after="0" w:line="240" w:lineRule="auto"/>
        <w:rPr>
          <w:rFonts w:cstheme="minorHAnsi"/>
        </w:rPr>
      </w:pPr>
      <w:r w:rsidRPr="00E367B9">
        <w:rPr>
          <w:rFonts w:cstheme="minorHAnsi"/>
        </w:rPr>
        <w:t xml:space="preserve">When correct, it is sent by ACN to your local health district for review and approval. </w:t>
      </w:r>
    </w:p>
    <w:p w14:paraId="4CA2385D" w14:textId="77777777" w:rsidR="009500ED" w:rsidRPr="00E367B9" w:rsidRDefault="009500ED" w:rsidP="009500ED">
      <w:pPr>
        <w:numPr>
          <w:ilvl w:val="0"/>
          <w:numId w:val="6"/>
        </w:numPr>
        <w:spacing w:after="0" w:line="240" w:lineRule="auto"/>
        <w:rPr>
          <w:rFonts w:cstheme="minorHAnsi"/>
        </w:rPr>
      </w:pPr>
      <w:r w:rsidRPr="00E367B9">
        <w:rPr>
          <w:rFonts w:cstheme="minorHAnsi"/>
        </w:rPr>
        <w:t xml:space="preserve">You will be notified by ACN when you are verified with your </w:t>
      </w:r>
      <w:r>
        <w:rPr>
          <w:rFonts w:cstheme="minorHAnsi"/>
        </w:rPr>
        <w:t>state/facility</w:t>
      </w:r>
      <w:r w:rsidRPr="00E367B9">
        <w:rPr>
          <w:rFonts w:cstheme="minorHAnsi"/>
        </w:rPr>
        <w:t>.</w:t>
      </w:r>
    </w:p>
    <w:p w14:paraId="0659247A"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24D903E2"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xml:space="preserve">Please note: Additional forms may be required pending to a placement provider request. </w:t>
      </w:r>
    </w:p>
    <w:p w14:paraId="3476CB58"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4C63CB6E"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When do I need to do this?</w:t>
      </w:r>
    </w:p>
    <w:p w14:paraId="2B801A59"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rPr>
        <w:t xml:space="preserve">Now! </w:t>
      </w:r>
      <w:r w:rsidRPr="00E367B9">
        <w:rPr>
          <w:rFonts w:asciiTheme="minorHAnsi" w:hAnsiTheme="minorHAnsi" w:cstheme="minorHAnsi"/>
          <w:sz w:val="22"/>
          <w:szCs w:val="22"/>
          <w:shd w:val="clear" w:color="auto" w:fill="FFFFFF"/>
        </w:rPr>
        <w:t xml:space="preserve">Every step in this process can take a long time (weeks). </w:t>
      </w:r>
    </w:p>
    <w:p w14:paraId="6C7F8492"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be sure that your compliance documents are ready. </w:t>
      </w:r>
    </w:p>
    <w:p w14:paraId="730DD6BD"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compile and send them as soon as the Student ID Card is received. Compliance verification is mandatory for public / private sector hospitals. </w:t>
      </w:r>
    </w:p>
    <w:p w14:paraId="74F3FAAE"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You will NOT be allowed to attend if is not finalised by the health service a few weeks before placement (due dates vary) and your non-compliance will be reported to the Unit Coordinator for follow up. </w:t>
      </w:r>
    </w:p>
    <w:p w14:paraId="4EE4E650"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w:t>
      </w:r>
    </w:p>
    <w:p w14:paraId="3E6463B4"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Instructions:</w:t>
      </w:r>
    </w:p>
    <w:p w14:paraId="2C51C5A9" w14:textId="77777777" w:rsidR="009500ED" w:rsidRPr="00E367B9" w:rsidRDefault="009500ED" w:rsidP="009500ED">
      <w:pPr>
        <w:pStyle w:val="NormalWeb"/>
        <w:numPr>
          <w:ilvl w:val="0"/>
          <w:numId w:val="7"/>
        </w:numPr>
        <w:spacing w:before="0" w:beforeAutospacing="0" w:after="0" w:afterAutospacing="0"/>
        <w:rPr>
          <w:rFonts w:asciiTheme="minorHAnsi" w:hAnsiTheme="minorHAnsi" w:cstheme="minorHAnsi"/>
          <w:sz w:val="22"/>
          <w:szCs w:val="22"/>
          <w:shd w:val="clear" w:color="auto" w:fill="FFFFFF"/>
        </w:rPr>
      </w:pPr>
      <w:bookmarkStart w:id="0" w:name="x__Hlk48739805"/>
      <w:r w:rsidRPr="00E367B9">
        <w:rPr>
          <w:rFonts w:asciiTheme="minorHAnsi" w:hAnsiTheme="minorHAnsi" w:cstheme="minorHAnsi"/>
          <w:sz w:val="22"/>
          <w:szCs w:val="22"/>
          <w:shd w:val="clear" w:color="auto" w:fill="FFFFFF"/>
        </w:rPr>
        <w:t xml:space="preserve">Please scan all requested forms into ONE PDF document and name it with your full name and student ID number. </w:t>
      </w:r>
      <w:bookmarkEnd w:id="0"/>
      <w:r w:rsidRPr="00E367B9">
        <w:rPr>
          <w:rFonts w:asciiTheme="minorHAnsi" w:hAnsiTheme="minorHAnsi" w:cstheme="minorHAnsi"/>
          <w:sz w:val="22"/>
          <w:szCs w:val="22"/>
          <w:shd w:val="clear" w:color="auto" w:fill="FFFFFF"/>
        </w:rPr>
        <w:t>For example: Jane Smith 123456 Compliance Pack</w:t>
      </w:r>
    </w:p>
    <w:p w14:paraId="5818B2FE" w14:textId="77777777" w:rsidR="009500ED" w:rsidRPr="00E367B9" w:rsidRDefault="009500ED" w:rsidP="009500ED">
      <w:pPr>
        <w:pStyle w:val="NormalWeb"/>
        <w:numPr>
          <w:ilvl w:val="0"/>
          <w:numId w:val="7"/>
        </w:numPr>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Your pack must be scanned in colour.</w:t>
      </w:r>
    </w:p>
    <w:p w14:paraId="4697A8DE" w14:textId="77777777" w:rsidR="009500ED" w:rsidRPr="00E367B9" w:rsidRDefault="009500ED" w:rsidP="009500ED">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If you are using, clear photos of your documents and require converting them from JPEG to PDF:</w:t>
      </w:r>
    </w:p>
    <w:p w14:paraId="43362A62" w14:textId="77777777" w:rsidR="009500ED" w:rsidRDefault="009500ED" w:rsidP="009500ED">
      <w:pPr>
        <w:pStyle w:val="NormalWeb"/>
        <w:spacing w:before="0" w:beforeAutospacing="0" w:after="0" w:afterAutospacing="0"/>
        <w:rPr>
          <w:rFonts w:asciiTheme="minorHAnsi" w:hAnsiTheme="minorHAnsi" w:cstheme="minorHAnsi"/>
          <w:sz w:val="22"/>
          <w:szCs w:val="22"/>
        </w:rPr>
      </w:pPr>
      <w:hyperlink r:id="rId7" w:history="1">
        <w:r w:rsidRPr="00B6685F">
          <w:rPr>
            <w:rStyle w:val="Hyperlink"/>
            <w:rFonts w:asciiTheme="minorHAnsi" w:eastAsiaTheme="majorEastAsia" w:hAnsiTheme="minorHAnsi" w:cstheme="minorHAnsi"/>
            <w:sz w:val="22"/>
            <w:szCs w:val="22"/>
          </w:rPr>
          <w:t>https://jpg2pdf.com/</w:t>
        </w:r>
      </w:hyperlink>
      <w:r>
        <w:rPr>
          <w:rFonts w:asciiTheme="minorHAnsi" w:hAnsiTheme="minorHAnsi" w:cstheme="minorHAnsi"/>
          <w:sz w:val="22"/>
          <w:szCs w:val="22"/>
        </w:rPr>
        <w:t xml:space="preserve"> </w:t>
      </w:r>
    </w:p>
    <w:p w14:paraId="1004D45C" w14:textId="77777777" w:rsidR="009500ED" w:rsidRDefault="009500ED" w:rsidP="009500ED">
      <w:pPr>
        <w:rPr>
          <w:b/>
        </w:rPr>
      </w:pPr>
    </w:p>
    <w:p w14:paraId="24539056" w14:textId="77777777" w:rsidR="009500ED" w:rsidRDefault="009500ED" w:rsidP="009500ED">
      <w:pPr>
        <w:pStyle w:val="Heading2"/>
      </w:pPr>
      <w:r>
        <w:t xml:space="preserve">Required </w:t>
      </w:r>
      <w:proofErr w:type="gramStart"/>
      <w:r>
        <w:t>documents</w:t>
      </w:r>
      <w:proofErr w:type="gramEnd"/>
    </w:p>
    <w:p w14:paraId="34D4EE96" w14:textId="77777777" w:rsidR="009500ED" w:rsidRDefault="009500ED" w:rsidP="009500ED">
      <w:pPr>
        <w:pStyle w:val="NormalWeb"/>
        <w:numPr>
          <w:ilvl w:val="0"/>
          <w:numId w:val="8"/>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Headshot photo or ACN student ID card (if available)</w:t>
      </w:r>
    </w:p>
    <w:p w14:paraId="67C45761" w14:textId="0508D510" w:rsidR="009500ED" w:rsidRDefault="009500ED" w:rsidP="009500E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provide a professional headshot, this image will be used to create your ACN student ID card. Please bring this with you when on placement. </w:t>
      </w:r>
    </w:p>
    <w:p w14:paraId="1DBED8F0" w14:textId="77777777" w:rsidR="009500ED" w:rsidRDefault="009500ED" w:rsidP="009500ED">
      <w:pPr>
        <w:pStyle w:val="NormalWeb"/>
        <w:spacing w:before="0" w:beforeAutospacing="0" w:after="0" w:afterAutospacing="0"/>
        <w:rPr>
          <w:rFonts w:asciiTheme="minorHAnsi" w:hAnsiTheme="minorHAnsi" w:cstheme="minorHAnsi"/>
          <w:sz w:val="22"/>
          <w:szCs w:val="22"/>
        </w:rPr>
      </w:pPr>
    </w:p>
    <w:p w14:paraId="12FB693A" w14:textId="1CF82A16" w:rsidR="009500ED" w:rsidRDefault="009500ED" w:rsidP="009500ED">
      <w:pPr>
        <w:pStyle w:val="NormalWeb"/>
        <w:numPr>
          <w:ilvl w:val="0"/>
          <w:numId w:val="8"/>
        </w:numPr>
        <w:spacing w:before="0" w:beforeAutospacing="0" w:after="0" w:afterAutospacing="0"/>
        <w:rPr>
          <w:rFonts w:asciiTheme="minorHAnsi" w:hAnsiTheme="minorHAnsi" w:cstheme="minorHAnsi"/>
          <w:sz w:val="22"/>
          <w:szCs w:val="22"/>
        </w:rPr>
      </w:pPr>
      <w:r w:rsidRPr="009500ED">
        <w:rPr>
          <w:rFonts w:asciiTheme="minorHAnsi" w:hAnsiTheme="minorHAnsi" w:cstheme="minorHAnsi"/>
          <w:sz w:val="22"/>
          <w:szCs w:val="22"/>
        </w:rPr>
        <w:t>Australian Police Check</w:t>
      </w:r>
    </w:p>
    <w:p w14:paraId="11B376EC" w14:textId="5C8276FF" w:rsidR="00D67AD8" w:rsidRDefault="00D67AD8" w:rsidP="00D67AD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To apply for a national police check, please visit the South Australia Police website: </w:t>
      </w:r>
      <w:hyperlink r:id="rId8" w:history="1">
        <w:r w:rsidRPr="00F95198">
          <w:rPr>
            <w:rStyle w:val="Hyperlink"/>
            <w:rFonts w:asciiTheme="minorHAnsi" w:hAnsiTheme="minorHAnsi" w:cstheme="minorHAnsi"/>
            <w:sz w:val="22"/>
            <w:szCs w:val="22"/>
          </w:rPr>
          <w:t>https://www.police.sa.gov.au/services-and-events/apply-for-a-police-record-check</w:t>
        </w:r>
      </w:hyperlink>
    </w:p>
    <w:p w14:paraId="61434063" w14:textId="77777777" w:rsidR="00D67AD8" w:rsidRDefault="00D67AD8" w:rsidP="00D67AD8">
      <w:pPr>
        <w:pStyle w:val="NormalWeb"/>
        <w:spacing w:before="0" w:beforeAutospacing="0" w:after="0" w:afterAutospacing="0"/>
        <w:rPr>
          <w:rFonts w:asciiTheme="minorHAnsi" w:hAnsiTheme="minorHAnsi" w:cstheme="minorHAnsi"/>
          <w:sz w:val="22"/>
          <w:szCs w:val="22"/>
        </w:rPr>
      </w:pPr>
    </w:p>
    <w:p w14:paraId="10478BCC" w14:textId="2CE5E998" w:rsidR="00D67AD8" w:rsidRDefault="00D67AD8" w:rsidP="00BE5003">
      <w:pPr>
        <w:pStyle w:val="NormalWeb"/>
        <w:numPr>
          <w:ilvl w:val="0"/>
          <w:numId w:val="8"/>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Working with Children check and NDIS Screening</w:t>
      </w:r>
    </w:p>
    <w:p w14:paraId="6DF47FB8" w14:textId="77777777" w:rsidR="00D67AD8" w:rsidRDefault="00D67AD8" w:rsidP="00BE5003">
      <w:pPr>
        <w:pStyle w:val="NormalWeb"/>
        <w:spacing w:before="0" w:beforeAutospacing="0" w:after="0"/>
        <w:rPr>
          <w:rFonts w:asciiTheme="minorHAnsi" w:hAnsiTheme="minorHAnsi" w:cstheme="minorHAnsi"/>
          <w:sz w:val="22"/>
          <w:szCs w:val="22"/>
        </w:rPr>
      </w:pPr>
      <w:r w:rsidRPr="00D67AD8">
        <w:rPr>
          <w:rFonts w:asciiTheme="minorHAnsi" w:hAnsiTheme="minorHAnsi" w:cstheme="minorHAnsi"/>
          <w:sz w:val="22"/>
          <w:szCs w:val="22"/>
        </w:rPr>
        <w:t>All students undertaking a placement in South Australia are required to hold a current Department of Human Services (DHS) screening check for:</w:t>
      </w:r>
    </w:p>
    <w:p w14:paraId="07B5B43B" w14:textId="2BC49A56" w:rsidR="00D67AD8" w:rsidRPr="00D67AD8" w:rsidRDefault="00D67AD8" w:rsidP="00D67AD8">
      <w:pPr>
        <w:pStyle w:val="NormalWeb"/>
        <w:numPr>
          <w:ilvl w:val="0"/>
          <w:numId w:val="9"/>
        </w:numPr>
        <w:spacing w:after="0"/>
        <w:rPr>
          <w:rFonts w:asciiTheme="minorHAnsi" w:hAnsiTheme="minorHAnsi" w:cstheme="minorHAnsi"/>
          <w:sz w:val="22"/>
          <w:szCs w:val="22"/>
        </w:rPr>
      </w:pPr>
      <w:r w:rsidRPr="00D67AD8">
        <w:rPr>
          <w:rFonts w:asciiTheme="minorHAnsi" w:hAnsiTheme="minorHAnsi" w:cstheme="minorHAnsi"/>
          <w:sz w:val="22"/>
          <w:szCs w:val="22"/>
        </w:rPr>
        <w:t>Working With Children Check (valid for five years)</w:t>
      </w:r>
      <w:r>
        <w:rPr>
          <w:rFonts w:asciiTheme="minorHAnsi" w:hAnsiTheme="minorHAnsi" w:cstheme="minorHAnsi"/>
          <w:sz w:val="22"/>
          <w:szCs w:val="22"/>
        </w:rPr>
        <w:t xml:space="preserve"> </w:t>
      </w:r>
      <w:r w:rsidRPr="00D67AD8">
        <w:rPr>
          <w:rFonts w:asciiTheme="minorHAnsi" w:hAnsiTheme="minorHAnsi" w:cstheme="minorHAnsi"/>
          <w:sz w:val="22"/>
          <w:szCs w:val="22"/>
        </w:rPr>
        <w:t>AND</w:t>
      </w:r>
    </w:p>
    <w:p w14:paraId="60D001A4" w14:textId="77777777" w:rsidR="00D67AD8" w:rsidRPr="00D67AD8" w:rsidRDefault="00D67AD8" w:rsidP="00D67AD8">
      <w:pPr>
        <w:pStyle w:val="NormalWeb"/>
        <w:numPr>
          <w:ilvl w:val="0"/>
          <w:numId w:val="9"/>
        </w:numPr>
        <w:spacing w:after="0"/>
        <w:rPr>
          <w:rFonts w:asciiTheme="minorHAnsi" w:hAnsiTheme="minorHAnsi" w:cstheme="minorHAnsi"/>
          <w:sz w:val="22"/>
          <w:szCs w:val="22"/>
        </w:rPr>
      </w:pPr>
      <w:r w:rsidRPr="00D67AD8">
        <w:rPr>
          <w:rFonts w:asciiTheme="minorHAnsi" w:hAnsiTheme="minorHAnsi" w:cstheme="minorHAnsi"/>
          <w:sz w:val="22"/>
          <w:szCs w:val="22"/>
        </w:rPr>
        <w:t xml:space="preserve">NDIS Screening (valid for five </w:t>
      </w:r>
      <w:proofErr w:type="gramStart"/>
      <w:r w:rsidRPr="00D67AD8">
        <w:rPr>
          <w:rFonts w:asciiTheme="minorHAnsi" w:hAnsiTheme="minorHAnsi" w:cstheme="minorHAnsi"/>
          <w:sz w:val="22"/>
          <w:szCs w:val="22"/>
        </w:rPr>
        <w:t>years)*</w:t>
      </w:r>
      <w:proofErr w:type="gramEnd"/>
    </w:p>
    <w:p w14:paraId="32499DF9" w14:textId="0E192B60" w:rsidR="009500ED" w:rsidRDefault="00D67AD8" w:rsidP="00D67AD8">
      <w:pPr>
        <w:pStyle w:val="NormalWeb"/>
        <w:spacing w:after="0"/>
        <w:rPr>
          <w:rFonts w:asciiTheme="minorHAnsi" w:hAnsiTheme="minorHAnsi" w:cstheme="minorHAnsi"/>
          <w:sz w:val="22"/>
          <w:szCs w:val="22"/>
        </w:rPr>
      </w:pPr>
      <w:r w:rsidRPr="00D67AD8">
        <w:rPr>
          <w:rFonts w:asciiTheme="minorHAnsi" w:hAnsiTheme="minorHAnsi" w:cstheme="minorHAnsi"/>
          <w:sz w:val="22"/>
          <w:szCs w:val="22"/>
        </w:rPr>
        <w:lastRenderedPageBreak/>
        <w:t>*Students with a current Disability Employment Service Check will not need to apply for the new NDIS screening until their current Disability Employment Service Check is due to expire, (less than six months from expiry), or their circumstances change.</w:t>
      </w:r>
      <w:r>
        <w:rPr>
          <w:rFonts w:asciiTheme="minorHAnsi" w:hAnsiTheme="minorHAnsi" w:cstheme="minorHAnsi"/>
          <w:sz w:val="22"/>
          <w:szCs w:val="22"/>
        </w:rPr>
        <w:t xml:space="preserve"> To </w:t>
      </w:r>
      <w:r w:rsidRPr="00D67AD8">
        <w:rPr>
          <w:rFonts w:asciiTheme="minorHAnsi" w:hAnsiTheme="minorHAnsi" w:cstheme="minorHAnsi"/>
          <w:sz w:val="22"/>
          <w:szCs w:val="22"/>
        </w:rPr>
        <w:t>apply for Working with Children Check and/or NDIS Screenings directly through the DHS Screening Unit portal using the link below:</w:t>
      </w:r>
      <w:hyperlink r:id="rId9" w:history="1">
        <w:r w:rsidRPr="00F95198">
          <w:rPr>
            <w:rStyle w:val="Hyperlink"/>
            <w:rFonts w:asciiTheme="minorHAnsi" w:hAnsiTheme="minorHAnsi" w:cstheme="minorHAnsi"/>
            <w:sz w:val="22"/>
            <w:szCs w:val="22"/>
          </w:rPr>
          <w:t>https://screening.sa.gov.au/applications/application-information-for-individuals</w:t>
        </w:r>
      </w:hyperlink>
    </w:p>
    <w:p w14:paraId="08878C60" w14:textId="77777777" w:rsidR="00D67AD8" w:rsidRDefault="00D67AD8" w:rsidP="00D67AD8">
      <w:pPr>
        <w:pStyle w:val="NormalWeb"/>
        <w:spacing w:before="0" w:beforeAutospacing="0" w:after="0" w:afterAutospacing="0"/>
        <w:rPr>
          <w:rFonts w:asciiTheme="minorHAnsi" w:hAnsiTheme="minorHAnsi" w:cstheme="minorHAnsi"/>
          <w:sz w:val="22"/>
          <w:szCs w:val="22"/>
        </w:rPr>
      </w:pPr>
    </w:p>
    <w:p w14:paraId="21407D7F" w14:textId="0AE5578F" w:rsidR="009500ED" w:rsidRPr="009500ED" w:rsidRDefault="009500ED" w:rsidP="009500ED">
      <w:pPr>
        <w:pStyle w:val="NormalWeb"/>
        <w:numPr>
          <w:ilvl w:val="0"/>
          <w:numId w:val="8"/>
        </w:numPr>
        <w:spacing w:before="0" w:beforeAutospacing="0" w:after="0" w:afterAutospacing="0"/>
        <w:rPr>
          <w:rFonts w:asciiTheme="minorHAnsi" w:hAnsiTheme="minorHAnsi" w:cstheme="minorHAnsi"/>
          <w:sz w:val="22"/>
          <w:szCs w:val="22"/>
        </w:rPr>
      </w:pPr>
      <w:r w:rsidRPr="009500ED">
        <w:rPr>
          <w:rFonts w:asciiTheme="minorHAnsi" w:hAnsiTheme="minorHAnsi" w:cstheme="minorHAnsi"/>
          <w:sz w:val="22"/>
          <w:szCs w:val="22"/>
        </w:rPr>
        <w:t>Mask fit testing and P</w:t>
      </w:r>
      <w:r w:rsidR="00FE7CEC">
        <w:rPr>
          <w:rFonts w:asciiTheme="minorHAnsi" w:hAnsiTheme="minorHAnsi" w:cstheme="minorHAnsi"/>
          <w:sz w:val="22"/>
          <w:szCs w:val="22"/>
        </w:rPr>
        <w:t xml:space="preserve">ersonal </w:t>
      </w:r>
      <w:r w:rsidRPr="009500ED">
        <w:rPr>
          <w:rFonts w:asciiTheme="minorHAnsi" w:hAnsiTheme="minorHAnsi" w:cstheme="minorHAnsi"/>
          <w:sz w:val="22"/>
          <w:szCs w:val="22"/>
        </w:rPr>
        <w:t>P</w:t>
      </w:r>
      <w:r w:rsidR="00FE7CEC">
        <w:rPr>
          <w:rFonts w:asciiTheme="minorHAnsi" w:hAnsiTheme="minorHAnsi" w:cstheme="minorHAnsi"/>
          <w:sz w:val="22"/>
          <w:szCs w:val="22"/>
        </w:rPr>
        <w:t xml:space="preserve">rotective </w:t>
      </w:r>
      <w:r w:rsidRPr="009500ED">
        <w:rPr>
          <w:rFonts w:asciiTheme="minorHAnsi" w:hAnsiTheme="minorHAnsi" w:cstheme="minorHAnsi"/>
          <w:sz w:val="22"/>
          <w:szCs w:val="22"/>
        </w:rPr>
        <w:t>E</w:t>
      </w:r>
      <w:r w:rsidR="00FE7CEC">
        <w:rPr>
          <w:rFonts w:asciiTheme="minorHAnsi" w:hAnsiTheme="minorHAnsi" w:cstheme="minorHAnsi"/>
          <w:sz w:val="22"/>
          <w:szCs w:val="22"/>
        </w:rPr>
        <w:t>quipment</w:t>
      </w:r>
    </w:p>
    <w:p w14:paraId="64ECABAB" w14:textId="11438CB1" w:rsidR="009500ED" w:rsidRDefault="009500ED" w:rsidP="009500ED">
      <w:pPr>
        <w:pStyle w:val="NormalWeb"/>
        <w:spacing w:before="0" w:beforeAutospacing="0" w:after="0" w:afterAutospacing="0"/>
        <w:rPr>
          <w:rFonts w:asciiTheme="minorHAnsi" w:hAnsiTheme="minorHAnsi" w:cstheme="minorHAnsi"/>
          <w:sz w:val="22"/>
          <w:szCs w:val="22"/>
        </w:rPr>
      </w:pPr>
      <w:r w:rsidRPr="009500ED">
        <w:rPr>
          <w:rFonts w:asciiTheme="minorHAnsi" w:hAnsiTheme="minorHAnsi" w:cstheme="minorHAnsi"/>
          <w:sz w:val="22"/>
          <w:szCs w:val="22"/>
        </w:rPr>
        <w:t xml:space="preserve">Students may be required to undergo fit testing to reduce the risk of transmission of infectious agents. An SA Health training tool can be found </w:t>
      </w:r>
      <w:hyperlink r:id="rId10" w:history="1">
        <w:r w:rsidRPr="009500ED">
          <w:rPr>
            <w:rStyle w:val="Hyperlink"/>
            <w:rFonts w:asciiTheme="minorHAnsi" w:hAnsiTheme="minorHAnsi" w:cstheme="minorHAnsi"/>
            <w:sz w:val="22"/>
            <w:szCs w:val="22"/>
          </w:rPr>
          <w:t>he</w:t>
        </w:r>
        <w:r w:rsidRPr="009500ED">
          <w:rPr>
            <w:rStyle w:val="Hyperlink"/>
            <w:rFonts w:asciiTheme="minorHAnsi" w:hAnsiTheme="minorHAnsi" w:cstheme="minorHAnsi"/>
            <w:sz w:val="22"/>
            <w:szCs w:val="22"/>
          </w:rPr>
          <w:t>r</w:t>
        </w:r>
        <w:r w:rsidRPr="009500ED">
          <w:rPr>
            <w:rStyle w:val="Hyperlink"/>
            <w:rFonts w:asciiTheme="minorHAnsi" w:hAnsiTheme="minorHAnsi" w:cstheme="minorHAnsi"/>
            <w:sz w:val="22"/>
            <w:szCs w:val="22"/>
          </w:rPr>
          <w:t>e</w:t>
        </w:r>
      </w:hyperlink>
      <w:r w:rsidRPr="009500ED">
        <w:rPr>
          <w:rFonts w:asciiTheme="minorHAnsi" w:hAnsiTheme="minorHAnsi" w:cstheme="minorHAnsi"/>
          <w:sz w:val="22"/>
          <w:szCs w:val="22"/>
        </w:rPr>
        <w:t>.</w:t>
      </w:r>
    </w:p>
    <w:p w14:paraId="52A6E8BD" w14:textId="77777777" w:rsidR="009500ED" w:rsidRDefault="009500ED" w:rsidP="009500ED">
      <w:pPr>
        <w:pStyle w:val="NormalWeb"/>
        <w:spacing w:before="0" w:beforeAutospacing="0" w:after="0" w:afterAutospacing="0"/>
        <w:rPr>
          <w:rFonts w:asciiTheme="minorHAnsi" w:hAnsiTheme="minorHAnsi" w:cstheme="minorHAnsi"/>
          <w:sz w:val="22"/>
          <w:szCs w:val="22"/>
        </w:rPr>
      </w:pPr>
    </w:p>
    <w:p w14:paraId="12C2B4D5" w14:textId="0B0A6D4D" w:rsidR="00D67AD8" w:rsidRDefault="00D67AD8" w:rsidP="00D67AD8">
      <w:pPr>
        <w:pStyle w:val="Heading2"/>
      </w:pPr>
      <w:r>
        <w:t>Immunisation evidence</w:t>
      </w:r>
    </w:p>
    <w:p w14:paraId="170370B0" w14:textId="77777777" w:rsidR="006D3FAB" w:rsidRDefault="00D67AD8" w:rsidP="00BE5003">
      <w:pPr>
        <w:pStyle w:val="NormalWeb"/>
        <w:numPr>
          <w:ilvl w:val="0"/>
          <w:numId w:val="8"/>
        </w:numPr>
        <w:spacing w:before="0" w:beforeAutospacing="0" w:after="0" w:afterAutospacing="0"/>
        <w:rPr>
          <w:rFonts w:asciiTheme="minorHAnsi" w:hAnsiTheme="minorHAnsi" w:cstheme="minorHAnsi"/>
          <w:sz w:val="22"/>
          <w:szCs w:val="22"/>
        </w:rPr>
      </w:pPr>
      <w:r w:rsidRPr="00D67AD8">
        <w:rPr>
          <w:rFonts w:asciiTheme="minorHAnsi" w:hAnsiTheme="minorHAnsi" w:cstheme="minorHAnsi"/>
          <w:sz w:val="22"/>
          <w:szCs w:val="22"/>
        </w:rPr>
        <w:t xml:space="preserve">Diphtheria </w:t>
      </w:r>
      <w:r w:rsidR="006D3FAB">
        <w:rPr>
          <w:rFonts w:asciiTheme="minorHAnsi" w:hAnsiTheme="minorHAnsi" w:cstheme="minorHAnsi"/>
          <w:sz w:val="22"/>
          <w:szCs w:val="22"/>
        </w:rPr>
        <w:t xml:space="preserve">Tetanus and </w:t>
      </w:r>
      <w:r w:rsidRPr="00D67AD8">
        <w:rPr>
          <w:rFonts w:asciiTheme="minorHAnsi" w:hAnsiTheme="minorHAnsi" w:cstheme="minorHAnsi"/>
          <w:sz w:val="22"/>
          <w:szCs w:val="22"/>
        </w:rPr>
        <w:t>Pertussis (</w:t>
      </w:r>
      <w:proofErr w:type="spellStart"/>
      <w:r w:rsidRPr="00D67AD8">
        <w:rPr>
          <w:rFonts w:asciiTheme="minorHAnsi" w:hAnsiTheme="minorHAnsi" w:cstheme="minorHAnsi"/>
          <w:sz w:val="22"/>
          <w:szCs w:val="22"/>
        </w:rPr>
        <w:t>dTpa</w:t>
      </w:r>
      <w:proofErr w:type="spellEnd"/>
      <w:r w:rsidRPr="00D67AD8">
        <w:rPr>
          <w:rFonts w:asciiTheme="minorHAnsi" w:hAnsiTheme="minorHAnsi" w:cstheme="minorHAnsi"/>
          <w:sz w:val="22"/>
          <w:szCs w:val="22"/>
        </w:rPr>
        <w:t>)</w:t>
      </w:r>
      <w:r>
        <w:rPr>
          <w:rFonts w:asciiTheme="minorHAnsi" w:hAnsiTheme="minorHAnsi" w:cstheme="minorHAnsi"/>
          <w:sz w:val="22"/>
          <w:szCs w:val="22"/>
        </w:rPr>
        <w:t xml:space="preserve"> </w:t>
      </w:r>
    </w:p>
    <w:p w14:paraId="2EC9585D" w14:textId="692DA442" w:rsidR="006D3FAB" w:rsidRPr="006D3FAB"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t xml:space="preserve">Confirmed evidence of immunity by one documented dose of adult </w:t>
      </w:r>
      <w:proofErr w:type="spellStart"/>
      <w:r w:rsidRPr="006D3FAB">
        <w:rPr>
          <w:rFonts w:asciiTheme="minorHAnsi" w:hAnsiTheme="minorHAnsi" w:cstheme="minorHAnsi"/>
          <w:sz w:val="22"/>
          <w:szCs w:val="22"/>
        </w:rPr>
        <w:t>DTPa</w:t>
      </w:r>
      <w:proofErr w:type="spellEnd"/>
      <w:r w:rsidRPr="006D3FAB">
        <w:rPr>
          <w:rFonts w:asciiTheme="minorHAnsi" w:hAnsiTheme="minorHAnsi" w:cstheme="minorHAnsi"/>
          <w:sz w:val="22"/>
          <w:szCs w:val="22"/>
        </w:rPr>
        <w:t xml:space="preserve"> vaccine within the last 10 years.</w:t>
      </w:r>
    </w:p>
    <w:p w14:paraId="1B9F3387" w14:textId="456F7453" w:rsidR="00D67AD8" w:rsidRDefault="00D67AD8" w:rsidP="00BE5003">
      <w:pPr>
        <w:pStyle w:val="NormalWeb"/>
        <w:numPr>
          <w:ilvl w:val="0"/>
          <w:numId w:val="8"/>
        </w:numPr>
        <w:spacing w:after="0" w:afterAutospacing="0"/>
        <w:rPr>
          <w:rFonts w:asciiTheme="minorHAnsi" w:hAnsiTheme="minorHAnsi" w:cstheme="minorHAnsi"/>
          <w:sz w:val="22"/>
          <w:szCs w:val="22"/>
        </w:rPr>
      </w:pPr>
      <w:r w:rsidRPr="00D67AD8">
        <w:rPr>
          <w:rFonts w:asciiTheme="minorHAnsi" w:hAnsiTheme="minorHAnsi" w:cstheme="minorHAnsi"/>
          <w:sz w:val="22"/>
          <w:szCs w:val="22"/>
        </w:rPr>
        <w:t>Hepatitis B</w:t>
      </w:r>
    </w:p>
    <w:p w14:paraId="16BC0098" w14:textId="4CA0F10F" w:rsidR="00BE5003" w:rsidRPr="00D67AD8" w:rsidRDefault="00BE5003" w:rsidP="00BE5003">
      <w:pPr>
        <w:pStyle w:val="NormalWeb"/>
        <w:spacing w:after="0"/>
        <w:rPr>
          <w:rFonts w:asciiTheme="minorHAnsi" w:hAnsiTheme="minorHAnsi" w:cstheme="minorHAnsi"/>
          <w:sz w:val="22"/>
          <w:szCs w:val="22"/>
        </w:rPr>
      </w:pPr>
      <w:r w:rsidRPr="00BE5003">
        <w:rPr>
          <w:rFonts w:asciiTheme="minorHAnsi" w:hAnsiTheme="minorHAnsi" w:cstheme="minorHAnsi"/>
          <w:sz w:val="22"/>
          <w:szCs w:val="22"/>
        </w:rPr>
        <w:t>Confirmed evidence of immunity to Hepatitis B with surface protective antibodies of &gt;10 IU/L following primary course</w:t>
      </w:r>
      <w:r w:rsidRPr="00BE5003">
        <w:rPr>
          <w:rFonts w:asciiTheme="minorHAnsi" w:hAnsiTheme="minorHAnsi" w:cstheme="minorHAnsi"/>
          <w:sz w:val="22"/>
          <w:szCs w:val="22"/>
        </w:rPr>
        <w:t xml:space="preserve"> OR </w:t>
      </w:r>
      <w:r w:rsidRPr="00BE5003">
        <w:rPr>
          <w:rFonts w:asciiTheme="minorHAnsi" w:hAnsiTheme="minorHAnsi" w:cstheme="minorHAnsi"/>
          <w:sz w:val="22"/>
          <w:szCs w:val="22"/>
        </w:rPr>
        <w:t xml:space="preserve">Confirmed course of three (3) doses of Hepatitis B </w:t>
      </w:r>
      <w:proofErr w:type="gramStart"/>
      <w:r w:rsidRPr="00BE5003">
        <w:rPr>
          <w:rFonts w:asciiTheme="minorHAnsi" w:hAnsiTheme="minorHAnsi" w:cstheme="minorHAnsi"/>
          <w:sz w:val="22"/>
          <w:szCs w:val="22"/>
        </w:rPr>
        <w:t>commenced</w:t>
      </w:r>
      <w:proofErr w:type="gramEnd"/>
    </w:p>
    <w:p w14:paraId="450BA605" w14:textId="77777777" w:rsidR="00BE5003" w:rsidRDefault="00D67AD8" w:rsidP="00BE5003">
      <w:pPr>
        <w:pStyle w:val="NormalWeb"/>
        <w:numPr>
          <w:ilvl w:val="0"/>
          <w:numId w:val="8"/>
        </w:numPr>
        <w:spacing w:after="0" w:afterAutospacing="0"/>
        <w:rPr>
          <w:rFonts w:asciiTheme="minorHAnsi" w:hAnsiTheme="minorHAnsi" w:cstheme="minorHAnsi"/>
          <w:sz w:val="22"/>
          <w:szCs w:val="22"/>
        </w:rPr>
      </w:pPr>
      <w:r w:rsidRPr="00D67AD8">
        <w:rPr>
          <w:rFonts w:asciiTheme="minorHAnsi" w:hAnsiTheme="minorHAnsi" w:cstheme="minorHAnsi"/>
          <w:sz w:val="22"/>
          <w:szCs w:val="22"/>
        </w:rPr>
        <w:t>Measles, Mumps and Rubella</w:t>
      </w:r>
    </w:p>
    <w:p w14:paraId="61CC7A2C" w14:textId="1FEF93F3" w:rsidR="006D3FAB" w:rsidRPr="00BE5003" w:rsidRDefault="00BE5003" w:rsidP="00BE5003">
      <w:pPr>
        <w:pStyle w:val="NormalWeb"/>
        <w:spacing w:before="0" w:beforeAutospacing="0" w:after="0" w:afterAutospacing="0"/>
        <w:rPr>
          <w:rFonts w:asciiTheme="minorHAnsi" w:hAnsiTheme="minorHAnsi" w:cstheme="minorHAnsi"/>
          <w:sz w:val="22"/>
          <w:szCs w:val="22"/>
        </w:rPr>
      </w:pPr>
      <w:r w:rsidRPr="00BE5003">
        <w:rPr>
          <w:rFonts w:asciiTheme="minorHAnsi" w:hAnsiTheme="minorHAnsi" w:cstheme="minorHAnsi"/>
          <w:sz w:val="22"/>
          <w:szCs w:val="22"/>
        </w:rPr>
        <w:t>C</w:t>
      </w:r>
      <w:r w:rsidR="006D3FAB" w:rsidRPr="00BE5003">
        <w:rPr>
          <w:rFonts w:asciiTheme="minorHAnsi" w:hAnsiTheme="minorHAnsi" w:cstheme="minorHAnsi"/>
          <w:sz w:val="22"/>
          <w:szCs w:val="22"/>
        </w:rPr>
        <w:t>onfirmed evidence of immunity to Measles</w:t>
      </w:r>
      <w:r w:rsidR="006D3FAB" w:rsidRPr="00FE7CEC">
        <w:rPr>
          <w:rFonts w:asciiTheme="minorHAnsi" w:hAnsiTheme="minorHAnsi" w:cstheme="minorHAnsi"/>
          <w:b/>
          <w:bCs/>
          <w:sz w:val="22"/>
          <w:szCs w:val="22"/>
        </w:rPr>
        <w:t xml:space="preserve"> AND</w:t>
      </w:r>
      <w:r w:rsidR="006D3FAB" w:rsidRPr="00BE5003">
        <w:rPr>
          <w:rFonts w:asciiTheme="minorHAnsi" w:hAnsiTheme="minorHAnsi" w:cstheme="minorHAnsi"/>
          <w:sz w:val="22"/>
          <w:szCs w:val="22"/>
        </w:rPr>
        <w:t xml:space="preserve"> Mumps </w:t>
      </w:r>
      <w:r w:rsidR="006D3FAB" w:rsidRPr="00FE7CEC">
        <w:rPr>
          <w:rFonts w:asciiTheme="minorHAnsi" w:hAnsiTheme="minorHAnsi" w:cstheme="minorHAnsi"/>
          <w:b/>
          <w:bCs/>
          <w:sz w:val="22"/>
          <w:szCs w:val="22"/>
        </w:rPr>
        <w:t xml:space="preserve">AND </w:t>
      </w:r>
      <w:r w:rsidR="006D3FAB" w:rsidRPr="00BE5003">
        <w:rPr>
          <w:rFonts w:asciiTheme="minorHAnsi" w:hAnsiTheme="minorHAnsi" w:cstheme="minorHAnsi"/>
          <w:sz w:val="22"/>
          <w:szCs w:val="22"/>
        </w:rPr>
        <w:t xml:space="preserve">Rubella </w:t>
      </w:r>
      <w:r w:rsidR="006D3FAB" w:rsidRPr="00BE5003">
        <w:rPr>
          <w:rFonts w:asciiTheme="minorHAnsi" w:hAnsiTheme="minorHAnsi" w:cstheme="minorHAnsi"/>
          <w:b/>
          <w:bCs/>
          <w:sz w:val="22"/>
          <w:szCs w:val="22"/>
        </w:rPr>
        <w:t>OR</w:t>
      </w:r>
      <w:r w:rsidR="006D3FAB" w:rsidRPr="00BE5003">
        <w:rPr>
          <w:rFonts w:asciiTheme="minorHAnsi" w:hAnsiTheme="minorHAnsi" w:cstheme="minorHAnsi"/>
          <w:sz w:val="22"/>
          <w:szCs w:val="22"/>
        </w:rPr>
        <w:t xml:space="preserve"> Confirmed course of two (2) doses of MMR given at least 28 days apart</w:t>
      </w:r>
      <w:r w:rsidR="006D3FAB" w:rsidRPr="00BE5003">
        <w:rPr>
          <w:rFonts w:asciiTheme="minorHAnsi" w:hAnsiTheme="minorHAnsi" w:cstheme="minorHAnsi"/>
          <w:sz w:val="22"/>
          <w:szCs w:val="22"/>
        </w:rPr>
        <w:t xml:space="preserve">. </w:t>
      </w:r>
    </w:p>
    <w:p w14:paraId="6A2B218F" w14:textId="13B36BE7" w:rsidR="00BE5003" w:rsidRDefault="00D67AD8" w:rsidP="00BE5003">
      <w:pPr>
        <w:pStyle w:val="NormalWeb"/>
        <w:numPr>
          <w:ilvl w:val="0"/>
          <w:numId w:val="8"/>
        </w:numPr>
        <w:spacing w:after="0" w:afterAutospacing="0"/>
        <w:rPr>
          <w:rFonts w:asciiTheme="minorHAnsi" w:hAnsiTheme="minorHAnsi" w:cstheme="minorHAnsi"/>
          <w:sz w:val="22"/>
          <w:szCs w:val="22"/>
        </w:rPr>
      </w:pPr>
      <w:r w:rsidRPr="00D67AD8">
        <w:rPr>
          <w:rFonts w:asciiTheme="minorHAnsi" w:hAnsiTheme="minorHAnsi" w:cstheme="minorHAnsi"/>
          <w:sz w:val="22"/>
          <w:szCs w:val="22"/>
        </w:rPr>
        <w:t>Varicella</w:t>
      </w:r>
    </w:p>
    <w:p w14:paraId="5966B587" w14:textId="38FD5824" w:rsidR="00BE5003" w:rsidRPr="00D67AD8" w:rsidRDefault="00BE5003" w:rsidP="00BE5003">
      <w:pPr>
        <w:pStyle w:val="NormalWeb"/>
        <w:spacing w:after="0"/>
        <w:rPr>
          <w:rFonts w:asciiTheme="minorHAnsi" w:hAnsiTheme="minorHAnsi" w:cstheme="minorHAnsi"/>
          <w:sz w:val="22"/>
          <w:szCs w:val="22"/>
        </w:rPr>
      </w:pPr>
      <w:r w:rsidRPr="00BE5003">
        <w:rPr>
          <w:rFonts w:asciiTheme="minorHAnsi" w:hAnsiTheme="minorHAnsi" w:cstheme="minorHAnsi"/>
          <w:sz w:val="22"/>
          <w:szCs w:val="22"/>
        </w:rPr>
        <w:t xml:space="preserve">Confirmed evidence of immunity to </w:t>
      </w:r>
      <w:r>
        <w:rPr>
          <w:rFonts w:asciiTheme="minorHAnsi" w:hAnsiTheme="minorHAnsi" w:cstheme="minorHAnsi"/>
          <w:sz w:val="22"/>
          <w:szCs w:val="22"/>
        </w:rPr>
        <w:t>Varicella</w:t>
      </w:r>
      <w:r w:rsidRPr="00BE5003">
        <w:rPr>
          <w:rFonts w:asciiTheme="minorHAnsi" w:hAnsiTheme="minorHAnsi" w:cstheme="minorHAnsi"/>
          <w:sz w:val="22"/>
          <w:szCs w:val="22"/>
        </w:rPr>
        <w:t xml:space="preserve"> </w:t>
      </w:r>
      <w:r w:rsidRPr="00BE5003">
        <w:rPr>
          <w:rFonts w:asciiTheme="minorHAnsi" w:hAnsiTheme="minorHAnsi" w:cstheme="minorHAnsi"/>
          <w:b/>
          <w:bCs/>
          <w:sz w:val="22"/>
          <w:szCs w:val="22"/>
        </w:rPr>
        <w:t>OR</w:t>
      </w:r>
      <w:r w:rsidRPr="00BE5003">
        <w:rPr>
          <w:rFonts w:asciiTheme="minorHAnsi" w:hAnsiTheme="minorHAnsi" w:cstheme="minorHAnsi"/>
          <w:sz w:val="22"/>
          <w:szCs w:val="22"/>
        </w:rPr>
        <w:t xml:space="preserve"> Confirmed course of two (2) doses of </w:t>
      </w:r>
      <w:r>
        <w:rPr>
          <w:rFonts w:asciiTheme="minorHAnsi" w:hAnsiTheme="minorHAnsi" w:cstheme="minorHAnsi"/>
          <w:sz w:val="22"/>
          <w:szCs w:val="22"/>
        </w:rPr>
        <w:t>Varicella</w:t>
      </w:r>
      <w:r w:rsidRPr="00BE5003">
        <w:rPr>
          <w:rFonts w:asciiTheme="minorHAnsi" w:hAnsiTheme="minorHAnsi" w:cstheme="minorHAnsi"/>
          <w:sz w:val="22"/>
          <w:szCs w:val="22"/>
        </w:rPr>
        <w:t xml:space="preserve"> given at least 28 days apart</w:t>
      </w:r>
      <w:r>
        <w:rPr>
          <w:rFonts w:asciiTheme="minorHAnsi" w:hAnsiTheme="minorHAnsi" w:cstheme="minorHAnsi"/>
          <w:sz w:val="22"/>
          <w:szCs w:val="22"/>
        </w:rPr>
        <w:t xml:space="preserve">. </w:t>
      </w:r>
    </w:p>
    <w:p w14:paraId="6999F896" w14:textId="77777777" w:rsidR="00BE5003" w:rsidRDefault="00D67AD8" w:rsidP="00BE5003">
      <w:pPr>
        <w:pStyle w:val="NormalWeb"/>
        <w:numPr>
          <w:ilvl w:val="0"/>
          <w:numId w:val="8"/>
        </w:numPr>
        <w:spacing w:after="0" w:afterAutospacing="0"/>
        <w:rPr>
          <w:rFonts w:asciiTheme="minorHAnsi" w:hAnsiTheme="minorHAnsi" w:cstheme="minorHAnsi"/>
          <w:sz w:val="22"/>
          <w:szCs w:val="22"/>
        </w:rPr>
      </w:pPr>
      <w:r w:rsidRPr="00BE5003">
        <w:rPr>
          <w:rFonts w:asciiTheme="minorHAnsi" w:hAnsiTheme="minorHAnsi" w:cstheme="minorHAnsi"/>
          <w:sz w:val="22"/>
          <w:szCs w:val="22"/>
        </w:rPr>
        <w:t>Influenza (seasonal)</w:t>
      </w:r>
    </w:p>
    <w:p w14:paraId="55E3E2B9" w14:textId="6D978A1A" w:rsidR="00D67AD8" w:rsidRPr="00BE5003" w:rsidRDefault="00D67AD8" w:rsidP="00BE5003">
      <w:pPr>
        <w:pStyle w:val="NormalWeb"/>
        <w:spacing w:before="0" w:beforeAutospacing="0" w:after="0" w:afterAutospacing="0"/>
        <w:rPr>
          <w:rFonts w:asciiTheme="minorHAnsi" w:hAnsiTheme="minorHAnsi" w:cstheme="minorHAnsi"/>
          <w:sz w:val="22"/>
          <w:szCs w:val="22"/>
        </w:rPr>
      </w:pPr>
      <w:r w:rsidRPr="00BE5003">
        <w:rPr>
          <w:rFonts w:asciiTheme="minorHAnsi" w:hAnsiTheme="minorHAnsi" w:cstheme="minorHAnsi"/>
          <w:sz w:val="22"/>
          <w:szCs w:val="22"/>
        </w:rPr>
        <w:t xml:space="preserve">Influenza (seasonal) immunization is required for students undertaking clinical placement in all SA facilities. </w:t>
      </w:r>
    </w:p>
    <w:p w14:paraId="770DC6CA" w14:textId="0A12941E" w:rsidR="00D67AD8" w:rsidRDefault="00D67AD8" w:rsidP="00BE5003">
      <w:pPr>
        <w:pStyle w:val="NormalWeb"/>
        <w:numPr>
          <w:ilvl w:val="0"/>
          <w:numId w:val="8"/>
        </w:numPr>
        <w:spacing w:after="0" w:afterAutospacing="0"/>
        <w:rPr>
          <w:rFonts w:asciiTheme="minorHAnsi" w:hAnsiTheme="minorHAnsi" w:cstheme="minorHAnsi"/>
          <w:sz w:val="22"/>
          <w:szCs w:val="22"/>
        </w:rPr>
      </w:pPr>
      <w:r w:rsidRPr="00D67AD8">
        <w:rPr>
          <w:rFonts w:asciiTheme="minorHAnsi" w:hAnsiTheme="minorHAnsi" w:cstheme="minorHAnsi"/>
          <w:sz w:val="22"/>
          <w:szCs w:val="22"/>
        </w:rPr>
        <w:t>Tuberculosis assessment</w:t>
      </w:r>
    </w:p>
    <w:p w14:paraId="4CECE3F8" w14:textId="6DE2B5E2" w:rsidR="006D3FAB" w:rsidRPr="006D3FAB" w:rsidRDefault="006D3FAB" w:rsidP="00BE5003">
      <w:pPr>
        <w:pStyle w:val="NormalWeb"/>
        <w:spacing w:before="240" w:beforeAutospacing="0" w:after="0"/>
        <w:rPr>
          <w:rFonts w:asciiTheme="minorHAnsi" w:hAnsiTheme="minorHAnsi" w:cstheme="minorHAnsi"/>
          <w:sz w:val="22"/>
          <w:szCs w:val="22"/>
        </w:rPr>
      </w:pPr>
      <w:r w:rsidRPr="006D3FAB">
        <w:rPr>
          <w:rFonts w:asciiTheme="minorHAnsi" w:hAnsiTheme="minorHAnsi" w:cstheme="minorHAnsi"/>
          <w:sz w:val="22"/>
          <w:szCs w:val="22"/>
        </w:rPr>
        <w:t xml:space="preserve">Students must complete the </w:t>
      </w:r>
      <w:hyperlink r:id="rId11" w:history="1">
        <w:r w:rsidRPr="006D3FAB">
          <w:rPr>
            <w:rStyle w:val="Hyperlink"/>
            <w:rFonts w:asciiTheme="minorHAnsi" w:hAnsiTheme="minorHAnsi" w:cstheme="minorHAnsi"/>
            <w:sz w:val="22"/>
            <w:szCs w:val="22"/>
          </w:rPr>
          <w:t>Tuberculosis (TB) SA Health Online Screening Questionnaire</w:t>
        </w:r>
      </w:hyperlink>
      <w:r>
        <w:rPr>
          <w:rFonts w:asciiTheme="minorHAnsi" w:hAnsiTheme="minorHAnsi" w:cstheme="minorHAnsi"/>
          <w:sz w:val="22"/>
          <w:szCs w:val="22"/>
        </w:rPr>
        <w:t xml:space="preserve">. </w:t>
      </w:r>
      <w:r w:rsidRPr="006D3FAB">
        <w:rPr>
          <w:rFonts w:asciiTheme="minorHAnsi" w:hAnsiTheme="minorHAnsi" w:cstheme="minorHAnsi"/>
          <w:sz w:val="22"/>
          <w:szCs w:val="22"/>
        </w:rPr>
        <w:t>Shortly after submitting the online questionnaire, students will be notified via email by SA Health if they are low risk and cleared or high risk and require follow-up.</w:t>
      </w:r>
    </w:p>
    <w:p w14:paraId="0E0A0405" w14:textId="77777777" w:rsidR="006D3FAB" w:rsidRPr="006D3FAB"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t>Upon receiving clearance, students are required to tick the box that relates to their outcome in the Tuberculosis Screening section on page 2 of the Immunisation Compliance Form. Please do not tick BOTH boxes, only tick the box that relates to the outcome of your screening. Students may be asked to show evidence of their screening on the first day of placement.</w:t>
      </w:r>
    </w:p>
    <w:p w14:paraId="0F251909" w14:textId="542BC1EF" w:rsidR="006D3FAB"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t>It is recommended to complete the TB Screening Questionnaire prior to receiving vaccinations as you are unable to complete the screening within four weeks of receiving a live vaccine (MMR, Varicella).</w:t>
      </w:r>
    </w:p>
    <w:p w14:paraId="2DFA493B" w14:textId="5DA12F97" w:rsidR="006D3FAB" w:rsidRPr="006D3FAB"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lastRenderedPageBreak/>
        <w:t>Step 1: All Health Care students must complete the online tuberculosis screening questionnaire.</w:t>
      </w:r>
      <w:r>
        <w:rPr>
          <w:rFonts w:asciiTheme="minorHAnsi" w:hAnsiTheme="minorHAnsi" w:cstheme="minorHAnsi"/>
          <w:sz w:val="22"/>
          <w:szCs w:val="22"/>
        </w:rPr>
        <w:t xml:space="preserve"> </w:t>
      </w:r>
      <w:r w:rsidRPr="006D3FAB">
        <w:rPr>
          <w:rFonts w:asciiTheme="minorHAnsi" w:hAnsiTheme="minorHAnsi" w:cstheme="minorHAnsi"/>
          <w:sz w:val="22"/>
          <w:szCs w:val="22"/>
        </w:rPr>
        <w:t>After completing the questionnaire, you will receive an email from SATB advising you of further instructions to complete your tuberculosis screening:</w:t>
      </w:r>
    </w:p>
    <w:p w14:paraId="7FE98CA7" w14:textId="5607374B" w:rsidR="006D3FAB" w:rsidRPr="006D3FAB" w:rsidRDefault="006D3FAB" w:rsidP="006D3FAB">
      <w:pPr>
        <w:pStyle w:val="NormalWeb"/>
        <w:numPr>
          <w:ilvl w:val="0"/>
          <w:numId w:val="10"/>
        </w:numPr>
        <w:spacing w:after="0"/>
        <w:rPr>
          <w:rFonts w:asciiTheme="minorHAnsi" w:hAnsiTheme="minorHAnsi" w:cstheme="minorHAnsi"/>
          <w:sz w:val="22"/>
          <w:szCs w:val="22"/>
        </w:rPr>
      </w:pPr>
      <w:r w:rsidRPr="006D3FAB">
        <w:rPr>
          <w:rFonts w:asciiTheme="minorHAnsi" w:hAnsiTheme="minorHAnsi" w:cstheme="minorHAnsi"/>
          <w:sz w:val="22"/>
          <w:szCs w:val="22"/>
        </w:rPr>
        <w:t>You have completed the TB Screening requirements,</w:t>
      </w:r>
      <w:r>
        <w:rPr>
          <w:rFonts w:asciiTheme="minorHAnsi" w:hAnsiTheme="minorHAnsi" w:cstheme="minorHAnsi"/>
          <w:sz w:val="22"/>
          <w:szCs w:val="22"/>
        </w:rPr>
        <w:t xml:space="preserve"> </w:t>
      </w:r>
      <w:r w:rsidRPr="006D3FAB">
        <w:rPr>
          <w:rFonts w:asciiTheme="minorHAnsi" w:hAnsiTheme="minorHAnsi" w:cstheme="minorHAnsi"/>
          <w:sz w:val="22"/>
          <w:szCs w:val="22"/>
        </w:rPr>
        <w:t>OR</w:t>
      </w:r>
    </w:p>
    <w:p w14:paraId="5B5CE115" w14:textId="68E9FE66" w:rsidR="006D3FAB" w:rsidRPr="006D3FAB" w:rsidRDefault="006D3FAB" w:rsidP="006D3FAB">
      <w:pPr>
        <w:pStyle w:val="NormalWeb"/>
        <w:numPr>
          <w:ilvl w:val="0"/>
          <w:numId w:val="10"/>
        </w:numPr>
        <w:spacing w:after="0"/>
        <w:rPr>
          <w:rFonts w:asciiTheme="minorHAnsi" w:hAnsiTheme="minorHAnsi" w:cstheme="minorHAnsi"/>
          <w:sz w:val="22"/>
          <w:szCs w:val="22"/>
        </w:rPr>
      </w:pPr>
      <w:r w:rsidRPr="006D3FAB">
        <w:rPr>
          <w:rFonts w:asciiTheme="minorHAnsi" w:hAnsiTheme="minorHAnsi" w:cstheme="minorHAnsi"/>
          <w:sz w:val="22"/>
          <w:szCs w:val="22"/>
        </w:rPr>
        <w:t>You are required to attend a GP to arrange an IGRA blood test (Continue to Step 2)</w:t>
      </w:r>
    </w:p>
    <w:p w14:paraId="1533CE14" w14:textId="73D175EE" w:rsidR="006D3FAB" w:rsidRPr="006D3FAB"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t>Step 2: If you are instructed by SA TB Services to undergo an IGRA test, you will need to make an appointment with a GP.  You should bring TB Screening Results to your appointment.  At your first appointment, the GP will arrange your blood test.  You will be required to see the GP again for your results at a follow-up appointment.  Your GP will complete the TB Clearance for Clinical Placement Healthcare Worker form.  Based on your test results, your GP will either:</w:t>
      </w:r>
    </w:p>
    <w:p w14:paraId="5DC35366" w14:textId="380B08C4" w:rsidR="006D3FAB" w:rsidRPr="006D3FAB" w:rsidRDefault="006D3FAB" w:rsidP="006D3FAB">
      <w:pPr>
        <w:pStyle w:val="NormalWeb"/>
        <w:numPr>
          <w:ilvl w:val="0"/>
          <w:numId w:val="12"/>
        </w:numPr>
        <w:spacing w:after="0"/>
        <w:rPr>
          <w:rFonts w:asciiTheme="minorHAnsi" w:hAnsiTheme="minorHAnsi" w:cstheme="minorHAnsi"/>
          <w:sz w:val="22"/>
          <w:szCs w:val="22"/>
        </w:rPr>
      </w:pPr>
      <w:r w:rsidRPr="006D3FAB">
        <w:rPr>
          <w:rFonts w:asciiTheme="minorHAnsi" w:hAnsiTheme="minorHAnsi" w:cstheme="minorHAnsi"/>
          <w:sz w:val="22"/>
          <w:szCs w:val="22"/>
        </w:rPr>
        <w:t>Sign off indicating that you have completed the TB Screening requirements on your Immunisation Compliance Form,</w:t>
      </w:r>
      <w:r>
        <w:rPr>
          <w:rFonts w:asciiTheme="minorHAnsi" w:hAnsiTheme="minorHAnsi" w:cstheme="minorHAnsi"/>
          <w:sz w:val="22"/>
          <w:szCs w:val="22"/>
        </w:rPr>
        <w:t xml:space="preserve"> </w:t>
      </w:r>
      <w:r w:rsidRPr="006D3FAB">
        <w:rPr>
          <w:rFonts w:asciiTheme="minorHAnsi" w:hAnsiTheme="minorHAnsi" w:cstheme="minorHAnsi"/>
          <w:sz w:val="22"/>
          <w:szCs w:val="22"/>
        </w:rPr>
        <w:t>OR</w:t>
      </w:r>
    </w:p>
    <w:p w14:paraId="610B2861" w14:textId="01E70F3E" w:rsidR="006D3FAB" w:rsidRPr="006D3FAB" w:rsidRDefault="006D3FAB" w:rsidP="006D3FAB">
      <w:pPr>
        <w:pStyle w:val="NormalWeb"/>
        <w:numPr>
          <w:ilvl w:val="0"/>
          <w:numId w:val="12"/>
        </w:numPr>
        <w:spacing w:after="0"/>
        <w:rPr>
          <w:rFonts w:asciiTheme="minorHAnsi" w:hAnsiTheme="minorHAnsi" w:cstheme="minorHAnsi"/>
          <w:sz w:val="22"/>
          <w:szCs w:val="22"/>
        </w:rPr>
      </w:pPr>
      <w:r w:rsidRPr="006D3FAB">
        <w:rPr>
          <w:rFonts w:asciiTheme="minorHAnsi" w:hAnsiTheme="minorHAnsi" w:cstheme="minorHAnsi"/>
          <w:sz w:val="22"/>
          <w:szCs w:val="22"/>
        </w:rPr>
        <w:t>Your GP will submit a request for a chest x-ray and for you to make another appointment with GP to review the chest x-ray results, (Continue to Step 3).</w:t>
      </w:r>
    </w:p>
    <w:p w14:paraId="0418FB1E" w14:textId="77777777" w:rsidR="006D3FAB" w:rsidRPr="006D3FAB"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t>Step 3: If a Chest X-Ray is required, your GP will review the chest X-ray and perform a TB symptom check:</w:t>
      </w:r>
    </w:p>
    <w:p w14:paraId="69BB682D" w14:textId="04816524" w:rsidR="006D3FAB" w:rsidRPr="006D3FAB" w:rsidRDefault="006D3FAB" w:rsidP="006D3FAB">
      <w:pPr>
        <w:pStyle w:val="NormalWeb"/>
        <w:numPr>
          <w:ilvl w:val="0"/>
          <w:numId w:val="14"/>
        </w:numPr>
        <w:spacing w:after="0"/>
        <w:rPr>
          <w:rFonts w:asciiTheme="minorHAnsi" w:hAnsiTheme="minorHAnsi" w:cstheme="minorHAnsi"/>
          <w:sz w:val="22"/>
          <w:szCs w:val="22"/>
        </w:rPr>
      </w:pPr>
      <w:r w:rsidRPr="006D3FAB">
        <w:rPr>
          <w:rFonts w:asciiTheme="minorHAnsi" w:hAnsiTheme="minorHAnsi" w:cstheme="minorHAnsi"/>
          <w:sz w:val="22"/>
          <w:szCs w:val="22"/>
        </w:rPr>
        <w:t>If the GP determines you are suitable to undertake a placement, they will complete the ‘TB Clearance for Clinical Placement Healthcare Worker’ form indicating follow-up with SATB is not required. OR</w:t>
      </w:r>
    </w:p>
    <w:p w14:paraId="56354EFD" w14:textId="3771424D" w:rsidR="006D3FAB" w:rsidRPr="006D3FAB" w:rsidRDefault="006D3FAB" w:rsidP="006D3FAB">
      <w:pPr>
        <w:pStyle w:val="NormalWeb"/>
        <w:numPr>
          <w:ilvl w:val="0"/>
          <w:numId w:val="14"/>
        </w:numPr>
        <w:spacing w:after="0"/>
        <w:rPr>
          <w:rFonts w:asciiTheme="minorHAnsi" w:hAnsiTheme="minorHAnsi" w:cstheme="minorHAnsi"/>
          <w:sz w:val="22"/>
          <w:szCs w:val="22"/>
        </w:rPr>
      </w:pPr>
      <w:r w:rsidRPr="006D3FAB">
        <w:rPr>
          <w:rFonts w:asciiTheme="minorHAnsi" w:hAnsiTheme="minorHAnsi" w:cstheme="minorHAnsi"/>
          <w:sz w:val="22"/>
          <w:szCs w:val="22"/>
        </w:rPr>
        <w:t>If the GP determines you are exhibiting TB symptoms or concerns with your chest x-ray, they will refer you to the Chest Clinic, and you will receive an appointment posted to you for the Chest Clinic at the Royal Adelaide Hospital (RAH). The Chest Clinic may require additional testing or prescribe treatment. Once the doctors at the Chest Clinic are satisfied that any Tuberculosis risk has been managed, you will be issued a certificate indicating that you have completed the TB Screening Requirements.</w:t>
      </w:r>
    </w:p>
    <w:p w14:paraId="46B7B7C2" w14:textId="5624347F" w:rsidR="006D3FAB" w:rsidRPr="00D67AD8" w:rsidRDefault="006D3FAB" w:rsidP="006D3FAB">
      <w:pPr>
        <w:pStyle w:val="NormalWeb"/>
        <w:spacing w:after="0"/>
        <w:rPr>
          <w:rFonts w:asciiTheme="minorHAnsi" w:hAnsiTheme="minorHAnsi" w:cstheme="minorHAnsi"/>
          <w:sz w:val="22"/>
          <w:szCs w:val="22"/>
        </w:rPr>
      </w:pPr>
      <w:r w:rsidRPr="006D3FAB">
        <w:rPr>
          <w:rFonts w:asciiTheme="minorHAnsi" w:hAnsiTheme="minorHAnsi" w:cstheme="minorHAnsi"/>
          <w:sz w:val="22"/>
          <w:szCs w:val="22"/>
        </w:rPr>
        <w:t>Keep a hard copy of the Certificate of Compliance and tuberculosis screening results in your records, ready for the commencement of your placement.</w:t>
      </w:r>
    </w:p>
    <w:p w14:paraId="75830F28" w14:textId="2E23D094" w:rsidR="00D67AD8" w:rsidRDefault="00D67AD8" w:rsidP="00BE5003">
      <w:pPr>
        <w:pStyle w:val="NormalWeb"/>
        <w:numPr>
          <w:ilvl w:val="0"/>
          <w:numId w:val="8"/>
        </w:numPr>
        <w:spacing w:before="0" w:beforeAutospacing="0" w:after="0" w:afterAutospacing="0"/>
        <w:rPr>
          <w:rFonts w:asciiTheme="minorHAnsi" w:hAnsiTheme="minorHAnsi" w:cstheme="minorHAnsi"/>
          <w:sz w:val="22"/>
          <w:szCs w:val="22"/>
        </w:rPr>
      </w:pPr>
      <w:r w:rsidRPr="00D67AD8">
        <w:rPr>
          <w:rFonts w:asciiTheme="minorHAnsi" w:hAnsiTheme="minorHAnsi" w:cstheme="minorHAnsi"/>
          <w:sz w:val="22"/>
          <w:szCs w:val="22"/>
        </w:rPr>
        <w:t>Proof of COVID-19 Vaccination (</w:t>
      </w:r>
      <w:r w:rsidR="00BE5003">
        <w:rPr>
          <w:rFonts w:asciiTheme="minorHAnsi" w:hAnsiTheme="minorHAnsi" w:cstheme="minorHAnsi"/>
          <w:sz w:val="22"/>
          <w:szCs w:val="22"/>
        </w:rPr>
        <w:t>3</w:t>
      </w:r>
      <w:r w:rsidRPr="00D67AD8">
        <w:rPr>
          <w:rFonts w:asciiTheme="minorHAnsi" w:hAnsiTheme="minorHAnsi" w:cstheme="minorHAnsi"/>
          <w:sz w:val="22"/>
          <w:szCs w:val="22"/>
        </w:rPr>
        <w:t xml:space="preserve"> dose)</w:t>
      </w:r>
    </w:p>
    <w:p w14:paraId="2234AA64" w14:textId="36F4E61D" w:rsidR="00D67AD8" w:rsidRDefault="00BE5003" w:rsidP="00BE500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Three doses of COVID-19 vaccines, and a</w:t>
      </w:r>
      <w:r w:rsidR="00D67AD8" w:rsidRPr="00D67AD8">
        <w:rPr>
          <w:rFonts w:asciiTheme="minorHAnsi" w:hAnsiTheme="minorHAnsi" w:cstheme="minorHAnsi"/>
          <w:sz w:val="22"/>
          <w:szCs w:val="22"/>
        </w:rPr>
        <w:t>ccording to the latest ATAGI Guidelines (March 2024), a single dose of the COVID-19 vaccination</w:t>
      </w:r>
      <w:r>
        <w:rPr>
          <w:rFonts w:asciiTheme="minorHAnsi" w:hAnsiTheme="minorHAnsi" w:cstheme="minorHAnsi"/>
          <w:sz w:val="22"/>
          <w:szCs w:val="22"/>
        </w:rPr>
        <w:t xml:space="preserve"> (2024 season)</w:t>
      </w:r>
      <w:r w:rsidR="00D67AD8" w:rsidRPr="00D67AD8">
        <w:rPr>
          <w:rFonts w:asciiTheme="minorHAnsi" w:hAnsiTheme="minorHAnsi" w:cstheme="minorHAnsi"/>
          <w:sz w:val="22"/>
          <w:szCs w:val="22"/>
        </w:rPr>
        <w:t xml:space="preserve"> </w:t>
      </w:r>
      <w:proofErr w:type="gramStart"/>
      <w:r w:rsidR="00D67AD8" w:rsidRPr="00D67AD8">
        <w:rPr>
          <w:rFonts w:asciiTheme="minorHAnsi" w:hAnsiTheme="minorHAnsi" w:cstheme="minorHAnsi"/>
          <w:sz w:val="22"/>
          <w:szCs w:val="22"/>
        </w:rPr>
        <w:t>are</w:t>
      </w:r>
      <w:proofErr w:type="gramEnd"/>
      <w:r w:rsidR="00D67AD8" w:rsidRPr="00D67AD8">
        <w:rPr>
          <w:rFonts w:asciiTheme="minorHAnsi" w:hAnsiTheme="minorHAnsi" w:cstheme="minorHAnsi"/>
          <w:sz w:val="22"/>
          <w:szCs w:val="22"/>
        </w:rPr>
        <w:t xml:space="preserve"> highly recommended for people &gt; over 18 years without risk factors.</w:t>
      </w:r>
    </w:p>
    <w:p w14:paraId="39D5418E" w14:textId="77777777" w:rsidR="00BE5003" w:rsidRDefault="00BE5003" w:rsidP="00BE5003">
      <w:pPr>
        <w:pStyle w:val="NormalWeb"/>
        <w:spacing w:before="0" w:beforeAutospacing="0" w:after="0" w:afterAutospacing="0"/>
        <w:rPr>
          <w:rFonts w:asciiTheme="minorHAnsi" w:hAnsiTheme="minorHAnsi" w:cstheme="minorHAnsi"/>
          <w:sz w:val="22"/>
          <w:szCs w:val="22"/>
        </w:rPr>
      </w:pPr>
    </w:p>
    <w:p w14:paraId="5D5AE9D9" w14:textId="3D4FE295" w:rsidR="00BE5003" w:rsidRDefault="00BE5003" w:rsidP="00BE5003">
      <w:pPr>
        <w:pStyle w:val="NormalWeb"/>
        <w:numPr>
          <w:ilvl w:val="0"/>
          <w:numId w:val="8"/>
        </w:numPr>
        <w:spacing w:before="0" w:beforeAutospacing="0" w:after="0" w:afterAutospacing="0"/>
        <w:rPr>
          <w:rFonts w:asciiTheme="minorHAnsi" w:hAnsiTheme="minorHAnsi" w:cstheme="minorHAnsi"/>
          <w:sz w:val="22"/>
          <w:szCs w:val="22"/>
        </w:rPr>
      </w:pPr>
      <w:r w:rsidRPr="00BE5003">
        <w:rPr>
          <w:rFonts w:asciiTheme="minorHAnsi" w:hAnsiTheme="minorHAnsi" w:cstheme="minorHAnsi"/>
          <w:sz w:val="22"/>
          <w:szCs w:val="22"/>
        </w:rPr>
        <w:t>Poliomyelitis</w:t>
      </w:r>
    </w:p>
    <w:p w14:paraId="10B26138" w14:textId="6BCC2505" w:rsidR="00BE5003" w:rsidRDefault="00BE5003" w:rsidP="00BE5003">
      <w:pPr>
        <w:pStyle w:val="NormalWeb"/>
        <w:spacing w:before="0" w:beforeAutospacing="0" w:after="0" w:afterAutospacing="0"/>
        <w:rPr>
          <w:rFonts w:asciiTheme="minorHAnsi" w:hAnsiTheme="minorHAnsi" w:cstheme="minorHAnsi"/>
          <w:sz w:val="22"/>
          <w:szCs w:val="22"/>
        </w:rPr>
      </w:pPr>
      <w:r w:rsidRPr="00BE5003">
        <w:rPr>
          <w:rFonts w:asciiTheme="minorHAnsi" w:hAnsiTheme="minorHAnsi" w:cstheme="minorHAnsi"/>
          <w:sz w:val="22"/>
          <w:szCs w:val="22"/>
        </w:rPr>
        <w:t>Confirmed evidence of immunity to Poliomyelitis vaccinations or Statutory Declaration confirming have received Polio vaccinations</w:t>
      </w:r>
      <w:r w:rsidRPr="00BE5003">
        <w:rPr>
          <w:rFonts w:asciiTheme="minorHAnsi" w:hAnsiTheme="minorHAnsi" w:cstheme="minorHAnsi"/>
          <w:sz w:val="22"/>
          <w:szCs w:val="22"/>
        </w:rPr>
        <w:t xml:space="preserve"> </w:t>
      </w:r>
      <w:r w:rsidRPr="00BE5003">
        <w:rPr>
          <w:rFonts w:asciiTheme="minorHAnsi" w:hAnsiTheme="minorHAnsi" w:cstheme="minorHAnsi"/>
          <w:b/>
          <w:bCs/>
          <w:sz w:val="22"/>
          <w:szCs w:val="22"/>
        </w:rPr>
        <w:t>OR</w:t>
      </w:r>
      <w:r w:rsidRPr="00BE5003">
        <w:rPr>
          <w:rFonts w:asciiTheme="minorHAnsi" w:hAnsiTheme="minorHAnsi" w:cstheme="minorHAnsi"/>
          <w:sz w:val="22"/>
          <w:szCs w:val="22"/>
        </w:rPr>
        <w:t xml:space="preserve"> </w:t>
      </w:r>
      <w:r w:rsidRPr="00BE5003">
        <w:rPr>
          <w:rFonts w:asciiTheme="minorHAnsi" w:hAnsiTheme="minorHAnsi" w:cstheme="minorHAnsi"/>
          <w:sz w:val="22"/>
          <w:szCs w:val="22"/>
        </w:rPr>
        <w:t>Confirmed courses of three (3) doses of polio vaccine given four weeks apart.</w:t>
      </w:r>
    </w:p>
    <w:p w14:paraId="0B8C782C" w14:textId="77777777" w:rsidR="00BE5003" w:rsidRDefault="00BE5003" w:rsidP="00D67AD8">
      <w:pPr>
        <w:pStyle w:val="NormalWeb"/>
        <w:spacing w:before="0" w:beforeAutospacing="0" w:after="0" w:afterAutospacing="0"/>
        <w:rPr>
          <w:rFonts w:asciiTheme="minorHAnsi" w:hAnsiTheme="minorHAnsi" w:cstheme="minorHAnsi"/>
          <w:sz w:val="22"/>
          <w:szCs w:val="22"/>
        </w:rPr>
      </w:pPr>
    </w:p>
    <w:p w14:paraId="5D450F4C" w14:textId="77777777" w:rsidR="00BE5003" w:rsidRDefault="00BE5003" w:rsidP="00D67AD8">
      <w:pPr>
        <w:pStyle w:val="NormalWeb"/>
        <w:spacing w:before="0" w:beforeAutospacing="0" w:after="0" w:afterAutospacing="0"/>
        <w:rPr>
          <w:rFonts w:asciiTheme="minorHAnsi" w:hAnsiTheme="minorHAnsi" w:cstheme="minorHAnsi"/>
          <w:sz w:val="22"/>
          <w:szCs w:val="22"/>
        </w:rPr>
      </w:pPr>
    </w:p>
    <w:p w14:paraId="6685DC12" w14:textId="77777777" w:rsidR="00BE5003" w:rsidRDefault="00BE5003" w:rsidP="00D67AD8">
      <w:pPr>
        <w:pStyle w:val="NormalWeb"/>
        <w:spacing w:before="0" w:beforeAutospacing="0" w:after="0" w:afterAutospacing="0"/>
        <w:rPr>
          <w:rFonts w:asciiTheme="minorHAnsi" w:hAnsiTheme="minorHAnsi" w:cstheme="minorHAnsi"/>
          <w:sz w:val="22"/>
          <w:szCs w:val="22"/>
        </w:rPr>
      </w:pPr>
    </w:p>
    <w:p w14:paraId="7A394E89" w14:textId="77777777" w:rsidR="00BE5003" w:rsidRDefault="00BE5003" w:rsidP="00BE5003">
      <w:pPr>
        <w:pStyle w:val="NormalWeb"/>
        <w:numPr>
          <w:ilvl w:val="0"/>
          <w:numId w:val="8"/>
        </w:numPr>
        <w:spacing w:after="0" w:afterAutospacing="0"/>
        <w:rPr>
          <w:rFonts w:asciiTheme="minorHAnsi" w:hAnsiTheme="minorHAnsi" w:cstheme="minorHAnsi"/>
          <w:sz w:val="22"/>
          <w:szCs w:val="22"/>
        </w:rPr>
      </w:pPr>
      <w:r w:rsidRPr="00BE5003">
        <w:rPr>
          <w:rFonts w:asciiTheme="minorHAnsi" w:hAnsiTheme="minorHAnsi" w:cstheme="minorHAnsi"/>
          <w:sz w:val="22"/>
          <w:szCs w:val="22"/>
        </w:rPr>
        <w:lastRenderedPageBreak/>
        <w:t>Hepatitis A*</w:t>
      </w:r>
      <w:r>
        <w:rPr>
          <w:rFonts w:asciiTheme="minorHAnsi" w:hAnsiTheme="minorHAnsi" w:cstheme="minorHAnsi"/>
          <w:sz w:val="22"/>
          <w:szCs w:val="22"/>
        </w:rPr>
        <w:t xml:space="preserve"> </w:t>
      </w:r>
      <w:r w:rsidRPr="00BE5003">
        <w:rPr>
          <w:rFonts w:asciiTheme="minorHAnsi" w:hAnsiTheme="minorHAnsi" w:cstheme="minorHAnsi"/>
          <w:sz w:val="22"/>
          <w:szCs w:val="22"/>
        </w:rPr>
        <w:t>(recommended)</w:t>
      </w:r>
    </w:p>
    <w:p w14:paraId="6C8B04FD" w14:textId="0306F727" w:rsidR="00BE5003" w:rsidRPr="00BE5003" w:rsidRDefault="00BE5003" w:rsidP="00BE5003">
      <w:pPr>
        <w:pStyle w:val="NormalWeb"/>
        <w:spacing w:after="0"/>
        <w:rPr>
          <w:rFonts w:asciiTheme="minorHAnsi" w:hAnsiTheme="minorHAnsi" w:cstheme="minorHAnsi"/>
          <w:sz w:val="22"/>
          <w:szCs w:val="22"/>
        </w:rPr>
      </w:pPr>
      <w:r w:rsidRPr="00BE5003">
        <w:rPr>
          <w:rFonts w:asciiTheme="minorHAnsi" w:hAnsiTheme="minorHAnsi" w:cstheme="minorHAnsi"/>
          <w:sz w:val="22"/>
          <w:szCs w:val="22"/>
        </w:rPr>
        <w:t>Hepatitis A is only recommended for students working in Indigenous communities or with Indigenous children, and for carers of people with developmental disabilities. Discuss with your medical practitioner if you are concerned</w:t>
      </w:r>
      <w:r w:rsidRPr="00BE5003">
        <w:rPr>
          <w:rFonts w:asciiTheme="minorHAnsi" w:hAnsiTheme="minorHAnsi" w:cstheme="minorHAnsi"/>
          <w:sz w:val="22"/>
          <w:szCs w:val="22"/>
        </w:rPr>
        <w:t>. Evidence required</w:t>
      </w:r>
      <w:r>
        <w:rPr>
          <w:rFonts w:asciiTheme="minorHAnsi" w:hAnsiTheme="minorHAnsi" w:cstheme="minorHAnsi"/>
          <w:sz w:val="22"/>
          <w:szCs w:val="22"/>
        </w:rPr>
        <w:t>:</w:t>
      </w:r>
    </w:p>
    <w:p w14:paraId="01D37501" w14:textId="53284198" w:rsidR="00BE5003" w:rsidRPr="00BE5003" w:rsidRDefault="00BE5003" w:rsidP="00BE5003">
      <w:pPr>
        <w:pStyle w:val="NormalWeb"/>
        <w:numPr>
          <w:ilvl w:val="0"/>
          <w:numId w:val="16"/>
        </w:numPr>
        <w:spacing w:after="0"/>
        <w:rPr>
          <w:rFonts w:asciiTheme="minorHAnsi" w:hAnsiTheme="minorHAnsi" w:cstheme="minorHAnsi"/>
          <w:sz w:val="22"/>
          <w:szCs w:val="22"/>
        </w:rPr>
      </w:pPr>
      <w:r w:rsidRPr="00BE5003">
        <w:rPr>
          <w:rFonts w:asciiTheme="minorHAnsi" w:hAnsiTheme="minorHAnsi" w:cstheme="minorHAnsi"/>
          <w:sz w:val="22"/>
          <w:szCs w:val="22"/>
        </w:rPr>
        <w:t>Confirmed evidence of immunity to Hepatitis A</w:t>
      </w:r>
      <w:r w:rsidRPr="00BE5003">
        <w:rPr>
          <w:rFonts w:asciiTheme="minorHAnsi" w:hAnsiTheme="minorHAnsi" w:cstheme="minorHAnsi"/>
          <w:sz w:val="22"/>
          <w:szCs w:val="22"/>
        </w:rPr>
        <w:t xml:space="preserve"> </w:t>
      </w:r>
      <w:r w:rsidRPr="00A008BF">
        <w:rPr>
          <w:rFonts w:asciiTheme="minorHAnsi" w:hAnsiTheme="minorHAnsi" w:cstheme="minorHAnsi"/>
          <w:b/>
          <w:bCs/>
          <w:sz w:val="22"/>
          <w:szCs w:val="22"/>
        </w:rPr>
        <w:t>OR</w:t>
      </w:r>
    </w:p>
    <w:p w14:paraId="1C24F78B" w14:textId="6CCFA546" w:rsidR="00BE5003" w:rsidRPr="00BE5003" w:rsidRDefault="00BE5003" w:rsidP="00BE5003">
      <w:pPr>
        <w:pStyle w:val="NormalWeb"/>
        <w:numPr>
          <w:ilvl w:val="0"/>
          <w:numId w:val="16"/>
        </w:numPr>
        <w:spacing w:after="0"/>
        <w:rPr>
          <w:rFonts w:asciiTheme="minorHAnsi" w:hAnsiTheme="minorHAnsi" w:cstheme="minorHAnsi"/>
          <w:sz w:val="22"/>
          <w:szCs w:val="22"/>
        </w:rPr>
      </w:pPr>
      <w:r w:rsidRPr="00BE5003">
        <w:rPr>
          <w:rFonts w:asciiTheme="minorHAnsi" w:hAnsiTheme="minorHAnsi" w:cstheme="minorHAnsi"/>
          <w:sz w:val="22"/>
          <w:szCs w:val="22"/>
        </w:rPr>
        <w:t>Confirmed course of two (2) doses of Hepatitis A</w:t>
      </w:r>
      <w:r w:rsidRPr="00BE5003">
        <w:rPr>
          <w:rFonts w:asciiTheme="minorHAnsi" w:hAnsiTheme="minorHAnsi" w:cstheme="minorHAnsi"/>
          <w:sz w:val="22"/>
          <w:szCs w:val="22"/>
        </w:rPr>
        <w:t xml:space="preserve"> </w:t>
      </w:r>
      <w:r w:rsidRPr="00BE5003">
        <w:rPr>
          <w:rFonts w:asciiTheme="minorHAnsi" w:hAnsiTheme="minorHAnsi" w:cstheme="minorHAnsi"/>
          <w:sz w:val="22"/>
          <w:szCs w:val="22"/>
        </w:rPr>
        <w:t>commenced</w:t>
      </w:r>
      <w:r w:rsidR="00A008BF">
        <w:rPr>
          <w:rFonts w:asciiTheme="minorHAnsi" w:hAnsiTheme="minorHAnsi" w:cstheme="minorHAnsi"/>
          <w:sz w:val="22"/>
          <w:szCs w:val="22"/>
        </w:rPr>
        <w:t>.</w:t>
      </w:r>
    </w:p>
    <w:p w14:paraId="6A42AB19" w14:textId="24C78C03" w:rsidR="00BE5003" w:rsidRDefault="00BE5003" w:rsidP="00BE5003">
      <w:pPr>
        <w:pStyle w:val="NormalWeb"/>
        <w:spacing w:before="0" w:beforeAutospacing="0" w:after="0" w:afterAutospacing="0"/>
        <w:rPr>
          <w:rFonts w:asciiTheme="minorHAnsi" w:hAnsiTheme="minorHAnsi" w:cstheme="minorHAnsi"/>
          <w:sz w:val="22"/>
          <w:szCs w:val="22"/>
        </w:rPr>
      </w:pPr>
    </w:p>
    <w:p w14:paraId="05489408" w14:textId="53DC4D6A" w:rsidR="00D561D2" w:rsidRDefault="00D561D2" w:rsidP="00D561D2">
      <w:pPr>
        <w:pStyle w:val="Heading2"/>
      </w:pPr>
      <w:r>
        <w:t xml:space="preserve">Mandatory </w:t>
      </w:r>
      <w:r w:rsidR="00BE5003">
        <w:t xml:space="preserve">online </w:t>
      </w:r>
      <w:r>
        <w:t>training</w:t>
      </w:r>
    </w:p>
    <w:p w14:paraId="014CF2D7" w14:textId="33874C01" w:rsidR="00D561D2" w:rsidRDefault="009500ED" w:rsidP="00BE5003">
      <w:pPr>
        <w:pStyle w:val="NormalWeb"/>
        <w:numPr>
          <w:ilvl w:val="0"/>
          <w:numId w:val="8"/>
        </w:numPr>
        <w:spacing w:before="0" w:beforeAutospacing="0" w:after="0" w:afterAutospacing="0"/>
        <w:rPr>
          <w:rFonts w:asciiTheme="minorHAnsi" w:hAnsiTheme="minorHAnsi" w:cstheme="minorHAnsi"/>
          <w:sz w:val="22"/>
          <w:szCs w:val="22"/>
        </w:rPr>
      </w:pPr>
      <w:r w:rsidRPr="00D561D2">
        <w:rPr>
          <w:rFonts w:asciiTheme="minorHAnsi" w:hAnsiTheme="minorHAnsi" w:cstheme="minorHAnsi"/>
          <w:sz w:val="22"/>
          <w:szCs w:val="22"/>
        </w:rPr>
        <w:t xml:space="preserve">Sunrise EMR &amp; PAS, SA Health’s electronic medical record </w:t>
      </w:r>
    </w:p>
    <w:p w14:paraId="2B66149B" w14:textId="5B82F7CB" w:rsidR="00A008BF" w:rsidRPr="00A008BF" w:rsidRDefault="009500ED" w:rsidP="00EE1250">
      <w:pPr>
        <w:wordWrap w:val="0"/>
        <w:textAlignment w:val="baseline"/>
        <w:rPr>
          <w:rFonts w:ascii="inherit" w:eastAsia="Times New Roman" w:hAnsi="inherit" w:cs="Times New Roman"/>
          <w:sz w:val="21"/>
          <w:szCs w:val="21"/>
          <w:bdr w:val="none" w:sz="0" w:space="0" w:color="auto" w:frame="1"/>
          <w:lang w:val="en-AU" w:eastAsia="en-AU"/>
        </w:rPr>
      </w:pPr>
      <w:r w:rsidRPr="00D561D2">
        <w:rPr>
          <w:rFonts w:cstheme="minorHAnsi"/>
        </w:rPr>
        <w:t xml:space="preserve">The patient </w:t>
      </w:r>
      <w:r w:rsidRPr="00A008BF">
        <w:rPr>
          <w:rFonts w:cstheme="minorHAnsi"/>
        </w:rPr>
        <w:t>electronic medical record used in South Australia is a state-based system called Sunrise EMR &amp; PAS (Sunrise EMR). Sunrise EMR is used at many of the state’s public hospitals and healthcare</w:t>
      </w:r>
      <w:r w:rsidR="00D561D2" w:rsidRPr="00A008BF">
        <w:rPr>
          <w:rFonts w:cstheme="minorHAnsi"/>
        </w:rPr>
        <w:t xml:space="preserve">. Please contact </w:t>
      </w:r>
      <w:hyperlink r:id="rId12" w:history="1">
        <w:r w:rsidR="00A008BF" w:rsidRPr="00F95198">
          <w:rPr>
            <w:rStyle w:val="Hyperlink"/>
            <w:rFonts w:cstheme="minorHAnsi"/>
          </w:rPr>
          <w:t>health.emrtraining@sa.gov.au</w:t>
        </w:r>
      </w:hyperlink>
      <w:r w:rsidR="00A008BF">
        <w:rPr>
          <w:rFonts w:cstheme="minorHAnsi"/>
        </w:rPr>
        <w:t xml:space="preserve"> </w:t>
      </w:r>
      <w:r w:rsidR="00A008BF" w:rsidRPr="00A008BF">
        <w:rPr>
          <w:rFonts w:cstheme="minorHAnsi"/>
        </w:rPr>
        <w:t xml:space="preserve">or </w:t>
      </w:r>
      <w:hyperlink r:id="rId13" w:history="1">
        <w:r w:rsidR="00A008BF" w:rsidRPr="00A008BF">
          <w:rPr>
            <w:rStyle w:val="Hyperlink"/>
            <w:rFonts w:eastAsia="Times New Roman" w:cstheme="minorHAnsi"/>
            <w:bdr w:val="none" w:sz="0" w:space="0" w:color="auto" w:frame="1"/>
            <w:lang w:val="en-AU" w:eastAsia="en-AU"/>
          </w:rPr>
          <w:t>Health.StudentHADActivations@sa.gov.au</w:t>
        </w:r>
      </w:hyperlink>
      <w:r w:rsidR="00A008BF" w:rsidRPr="00A008BF">
        <w:rPr>
          <w:rFonts w:eastAsia="Times New Roman" w:cstheme="minorHAnsi"/>
          <w:bdr w:val="none" w:sz="0" w:space="0" w:color="auto" w:frame="1"/>
          <w:lang w:val="en-AU" w:eastAsia="en-AU"/>
        </w:rPr>
        <w:t xml:space="preserve"> to access the online training </w:t>
      </w:r>
      <w:r w:rsidR="00A008BF" w:rsidRPr="00281E26">
        <w:rPr>
          <w:rFonts w:cstheme="minorHAnsi"/>
        </w:rPr>
        <w:t xml:space="preserve">module. </w:t>
      </w:r>
      <w:r w:rsidR="00EE1250" w:rsidRPr="00EE1250">
        <w:rPr>
          <w:rFonts w:cstheme="minorHAnsi"/>
        </w:rPr>
        <w:t>You must complete this online training module</w:t>
      </w:r>
      <w:r w:rsidR="00EE1250">
        <w:rPr>
          <w:rFonts w:cstheme="minorHAnsi"/>
        </w:rPr>
        <w:t xml:space="preserve"> </w:t>
      </w:r>
      <w:r w:rsidR="00EE1250" w:rsidRPr="00EE1250">
        <w:rPr>
          <w:rFonts w:cstheme="minorHAnsi"/>
          <w:b/>
          <w:bCs/>
          <w:i/>
          <w:iCs/>
        </w:rPr>
        <w:t>four weeks</w:t>
      </w:r>
      <w:r w:rsidR="00EE1250" w:rsidRPr="00EE1250">
        <w:rPr>
          <w:rFonts w:cstheme="minorHAnsi"/>
        </w:rPr>
        <w:t xml:space="preserve"> before your placement </w:t>
      </w:r>
      <w:r w:rsidR="00EE1250">
        <w:rPr>
          <w:rFonts w:cstheme="minorHAnsi"/>
        </w:rPr>
        <w:t xml:space="preserve">       </w:t>
      </w:r>
      <w:r w:rsidR="00EE1250" w:rsidRPr="00EE1250">
        <w:rPr>
          <w:rFonts w:cstheme="minorHAnsi"/>
        </w:rPr>
        <w:t xml:space="preserve">begins. Once done, please email your certificate to </w:t>
      </w:r>
      <w:hyperlink r:id="rId14" w:history="1">
        <w:r w:rsidR="00EE1250" w:rsidRPr="00F95198">
          <w:rPr>
            <w:rStyle w:val="Hyperlink"/>
            <w:rFonts w:cstheme="minorHAnsi"/>
          </w:rPr>
          <w:t>clinicalplacement@acn.edu.au</w:t>
        </w:r>
      </w:hyperlink>
      <w:r w:rsidR="00EE1250">
        <w:rPr>
          <w:rFonts w:cstheme="minorHAnsi"/>
        </w:rPr>
        <w:t xml:space="preserve"> </w:t>
      </w:r>
      <w:r w:rsidR="00EE1250" w:rsidRPr="00EE1250">
        <w:rPr>
          <w:rFonts w:cstheme="minorHAnsi"/>
        </w:rPr>
        <w:t xml:space="preserve"> </w:t>
      </w:r>
      <w:r w:rsidR="00EE1250">
        <w:rPr>
          <w:rFonts w:cstheme="minorHAnsi"/>
        </w:rPr>
        <w:t>s</w:t>
      </w:r>
      <w:r w:rsidR="00EE1250" w:rsidRPr="00EE1250">
        <w:rPr>
          <w:rFonts w:cstheme="minorHAnsi"/>
        </w:rPr>
        <w:t xml:space="preserve">o that we can </w:t>
      </w:r>
      <w:r w:rsidR="00EE1250">
        <w:rPr>
          <w:rFonts w:cstheme="minorHAnsi"/>
        </w:rPr>
        <w:t xml:space="preserve">          </w:t>
      </w:r>
      <w:r w:rsidR="00EE1250" w:rsidRPr="00EE1250">
        <w:rPr>
          <w:rFonts w:cstheme="minorHAnsi"/>
        </w:rPr>
        <w:t xml:space="preserve">update your compliance record in </w:t>
      </w:r>
      <w:proofErr w:type="spellStart"/>
      <w:r w:rsidR="00EE1250" w:rsidRPr="00EE1250">
        <w:rPr>
          <w:rFonts w:cstheme="minorHAnsi"/>
        </w:rPr>
        <w:t>Placeright</w:t>
      </w:r>
      <w:proofErr w:type="spellEnd"/>
      <w:r w:rsidR="00EE1250" w:rsidRPr="00EE1250">
        <w:rPr>
          <w:rFonts w:cstheme="minorHAnsi"/>
        </w:rPr>
        <w:t>.</w:t>
      </w:r>
    </w:p>
    <w:p w14:paraId="4BB7A6C2" w14:textId="1A4D4548" w:rsidR="009500ED" w:rsidRPr="009500ED" w:rsidRDefault="00A008BF" w:rsidP="00A008BF">
      <w:pPr>
        <w:pStyle w:val="NormalWeb"/>
        <w:spacing w:before="0" w:beforeAutospacing="0" w:after="0" w:afterAutospacing="0"/>
        <w:rPr>
          <w:rFonts w:asciiTheme="minorHAnsi" w:hAnsiTheme="minorHAnsi" w:cstheme="minorHAnsi"/>
          <w:sz w:val="22"/>
          <w:szCs w:val="22"/>
        </w:rPr>
      </w:pPr>
      <w:r w:rsidRPr="00A008BF">
        <w:rPr>
          <w:rFonts w:ascii="Segoe UI" w:hAnsi="Segoe UI" w:cs="Segoe UI"/>
          <w:color w:val="000000"/>
          <w:sz w:val="21"/>
          <w:szCs w:val="21"/>
          <w:bdr w:val="none" w:sz="0" w:space="0" w:color="auto" w:frame="1"/>
        </w:rPr>
        <w:br/>
      </w:r>
    </w:p>
    <w:sectPr w:rsidR="009500ED" w:rsidRPr="009500ED" w:rsidSect="004F0619">
      <w:headerReference w:type="default" r:id="rId15"/>
      <w:footerReference w:type="default" r:id="rId1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3EB21" w14:textId="77777777" w:rsidR="00467CC9" w:rsidRDefault="00467CC9" w:rsidP="004F0619">
      <w:pPr>
        <w:spacing w:after="0" w:line="240" w:lineRule="auto"/>
      </w:pPr>
      <w:r>
        <w:separator/>
      </w:r>
    </w:p>
  </w:endnote>
  <w:endnote w:type="continuationSeparator" w:id="0">
    <w:p w14:paraId="4E83D48C" w14:textId="77777777" w:rsidR="00467CC9" w:rsidRDefault="00467CC9" w:rsidP="004F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BA57" w14:textId="5F923078" w:rsidR="0067083C" w:rsidRDefault="0067083C">
    <w:pPr>
      <w:pStyle w:val="Footer"/>
    </w:pPr>
    <w:r>
      <w:t xml:space="preserve">Clinical Placement Checklist </w:t>
    </w:r>
    <w:r w:rsidR="00A008BF">
      <w:t>v1 April 2024</w:t>
    </w:r>
    <w:r>
      <w:tab/>
    </w:r>
    <w:r>
      <w:tab/>
      <w:t xml:space="preserve">Page </w:t>
    </w:r>
    <w:r>
      <w:rPr>
        <w:b/>
        <w:bCs/>
      </w:rPr>
      <w:fldChar w:fldCharType="begin"/>
    </w:r>
    <w:r>
      <w:rPr>
        <w:b/>
        <w:bCs/>
      </w:rPr>
      <w:instrText xml:space="preserve"> PAGE  \* Arabic  \* MERGEFORMAT </w:instrText>
    </w:r>
    <w:r>
      <w:rPr>
        <w:b/>
        <w:bCs/>
      </w:rPr>
      <w:fldChar w:fldCharType="separate"/>
    </w:r>
    <w:r w:rsidR="00D062C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62C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A6F7" w14:textId="77777777" w:rsidR="00467CC9" w:rsidRDefault="00467CC9" w:rsidP="004F0619">
      <w:pPr>
        <w:spacing w:after="0" w:line="240" w:lineRule="auto"/>
      </w:pPr>
      <w:r>
        <w:separator/>
      </w:r>
    </w:p>
  </w:footnote>
  <w:footnote w:type="continuationSeparator" w:id="0">
    <w:p w14:paraId="3969CE17" w14:textId="77777777" w:rsidR="00467CC9" w:rsidRDefault="00467CC9" w:rsidP="004F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B83B" w14:textId="1A3A8EC2" w:rsidR="004F0619" w:rsidRPr="00587FF4" w:rsidRDefault="00D178E7" w:rsidP="00587FF4">
    <w:pPr>
      <w:pStyle w:val="NoSpacing"/>
      <w:rPr>
        <w:b/>
        <w:sz w:val="32"/>
      </w:rPr>
    </w:pPr>
    <w:r>
      <w:rPr>
        <w:b/>
        <w:noProof/>
        <w:sz w:val="24"/>
        <w:lang w:val="en-AU" w:eastAsia="en-AU"/>
      </w:rPr>
      <w:drawing>
        <wp:anchor distT="0" distB="0" distL="114300" distR="114300" simplePos="0" relativeHeight="251658240" behindDoc="0" locked="0" layoutInCell="1" allowOverlap="1" wp14:anchorId="39BE952D" wp14:editId="50C3A692">
          <wp:simplePos x="0" y="0"/>
          <wp:positionH relativeFrom="column">
            <wp:posOffset>374650</wp:posOffset>
          </wp:positionH>
          <wp:positionV relativeFrom="paragraph">
            <wp:posOffset>251460</wp:posOffset>
          </wp:positionV>
          <wp:extent cx="4813300" cy="450506"/>
          <wp:effectExtent l="0" t="0" r="635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N-Secondary-Logo%20MAY%20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0" cy="450506"/>
                  </a:xfrm>
                  <a:prstGeom prst="rect">
                    <a:avLst/>
                  </a:prstGeom>
                </pic:spPr>
              </pic:pic>
            </a:graphicData>
          </a:graphic>
          <wp14:sizeRelH relativeFrom="page">
            <wp14:pctWidth>0</wp14:pctWidth>
          </wp14:sizeRelH>
          <wp14:sizeRelV relativeFrom="page">
            <wp14:pctHeight>0</wp14:pctHeight>
          </wp14:sizeRelV>
        </wp:anchor>
      </w:drawing>
    </w:r>
    <w:r w:rsidR="00587FF4">
      <w:rPr>
        <w:b/>
        <w:sz w:val="24"/>
      </w:rPr>
      <w:t xml:space="preserve">                                                </w:t>
    </w:r>
  </w:p>
  <w:p w14:paraId="09BD7D96" w14:textId="6558C997" w:rsidR="004F0619" w:rsidRDefault="004F0619" w:rsidP="00351798">
    <w:pPr>
      <w:pStyle w:val="NoSpacing"/>
      <w:jc w:val="center"/>
      <w:rPr>
        <w:b/>
        <w:sz w:val="32"/>
      </w:rPr>
    </w:pPr>
    <w:r w:rsidRPr="00587FF4">
      <w:rPr>
        <w:b/>
        <w:sz w:val="32"/>
      </w:rPr>
      <w:t>Student Document checklist</w:t>
    </w:r>
  </w:p>
  <w:p w14:paraId="4587A847" w14:textId="77777777" w:rsidR="00351798" w:rsidRPr="00587FF4" w:rsidRDefault="00351798" w:rsidP="00587FF4">
    <w:pPr>
      <w:pStyle w:val="NoSpacing"/>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250"/>
    <w:multiLevelType w:val="hybridMultilevel"/>
    <w:tmpl w:val="C4D0D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455168"/>
    <w:multiLevelType w:val="hybridMultilevel"/>
    <w:tmpl w:val="A5064C5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D40D11"/>
    <w:multiLevelType w:val="hybridMultilevel"/>
    <w:tmpl w:val="0C3E05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8239C7"/>
    <w:multiLevelType w:val="hybridMultilevel"/>
    <w:tmpl w:val="EEE8C4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B0738E"/>
    <w:multiLevelType w:val="hybridMultilevel"/>
    <w:tmpl w:val="E4AA11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01F50"/>
    <w:multiLevelType w:val="hybridMultilevel"/>
    <w:tmpl w:val="6A1AE1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D77806"/>
    <w:multiLevelType w:val="hybridMultilevel"/>
    <w:tmpl w:val="68121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DC6E7F"/>
    <w:multiLevelType w:val="hybridMultilevel"/>
    <w:tmpl w:val="C7B285E4"/>
    <w:lvl w:ilvl="0" w:tplc="0C090001">
      <w:start w:val="1"/>
      <w:numFmt w:val="bullet"/>
      <w:lvlText w:val=""/>
      <w:lvlJc w:val="left"/>
      <w:pPr>
        <w:ind w:left="720" w:hanging="360"/>
      </w:pPr>
      <w:rPr>
        <w:rFonts w:ascii="Symbol" w:hAnsi="Symbol" w:hint="default"/>
      </w:rPr>
    </w:lvl>
    <w:lvl w:ilvl="1" w:tplc="17ECFF6C">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E97577"/>
    <w:multiLevelType w:val="hybridMultilevel"/>
    <w:tmpl w:val="3454D78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866EC0"/>
    <w:multiLevelType w:val="hybridMultilevel"/>
    <w:tmpl w:val="CF186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DC780B"/>
    <w:multiLevelType w:val="hybridMultilevel"/>
    <w:tmpl w:val="0E542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11461E"/>
    <w:multiLevelType w:val="hybridMultilevel"/>
    <w:tmpl w:val="F2B6DC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697BCC"/>
    <w:multiLevelType w:val="hybridMultilevel"/>
    <w:tmpl w:val="0E88E9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1E5F69"/>
    <w:multiLevelType w:val="hybridMultilevel"/>
    <w:tmpl w:val="2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85E01"/>
    <w:multiLevelType w:val="hybridMultilevel"/>
    <w:tmpl w:val="0E6E0FF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D821A1"/>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77437095">
    <w:abstractNumId w:val="13"/>
  </w:num>
  <w:num w:numId="2" w16cid:durableId="1329748940">
    <w:abstractNumId w:val="14"/>
  </w:num>
  <w:num w:numId="3" w16cid:durableId="2092383170">
    <w:abstractNumId w:val="8"/>
  </w:num>
  <w:num w:numId="4" w16cid:durableId="262538823">
    <w:abstractNumId w:val="1"/>
  </w:num>
  <w:num w:numId="5" w16cid:durableId="1698502521">
    <w:abstractNumId w:val="6"/>
  </w:num>
  <w:num w:numId="6" w16cid:durableId="498694324">
    <w:abstractNumId w:val="15"/>
  </w:num>
  <w:num w:numId="7" w16cid:durableId="993073191">
    <w:abstractNumId w:val="7"/>
  </w:num>
  <w:num w:numId="8" w16cid:durableId="136267746">
    <w:abstractNumId w:val="9"/>
  </w:num>
  <w:num w:numId="9" w16cid:durableId="1385446196">
    <w:abstractNumId w:val="0"/>
  </w:num>
  <w:num w:numId="10" w16cid:durableId="1037975744">
    <w:abstractNumId w:val="4"/>
  </w:num>
  <w:num w:numId="11" w16cid:durableId="1968658467">
    <w:abstractNumId w:val="11"/>
  </w:num>
  <w:num w:numId="12" w16cid:durableId="796918454">
    <w:abstractNumId w:val="2"/>
  </w:num>
  <w:num w:numId="13" w16cid:durableId="493187706">
    <w:abstractNumId w:val="3"/>
  </w:num>
  <w:num w:numId="14" w16cid:durableId="1762683429">
    <w:abstractNumId w:val="12"/>
  </w:num>
  <w:num w:numId="15" w16cid:durableId="1450275581">
    <w:abstractNumId w:val="5"/>
  </w:num>
  <w:num w:numId="16" w16cid:durableId="756556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MDeztDQ2MDYzMrdQ0lEKTi0uzszPAykwrAUAXy4GxiwAAAA="/>
  </w:docVars>
  <w:rsids>
    <w:rsidRoot w:val="000C74F3"/>
    <w:rsid w:val="00011828"/>
    <w:rsid w:val="00026766"/>
    <w:rsid w:val="00036B92"/>
    <w:rsid w:val="00055B15"/>
    <w:rsid w:val="00066CD3"/>
    <w:rsid w:val="000C74F3"/>
    <w:rsid w:val="001A28CA"/>
    <w:rsid w:val="001B0AEB"/>
    <w:rsid w:val="001E50DB"/>
    <w:rsid w:val="002126C3"/>
    <w:rsid w:val="00262E91"/>
    <w:rsid w:val="00281E26"/>
    <w:rsid w:val="002F1770"/>
    <w:rsid w:val="002F1AD1"/>
    <w:rsid w:val="002F2E44"/>
    <w:rsid w:val="00340BE0"/>
    <w:rsid w:val="0034229D"/>
    <w:rsid w:val="00351798"/>
    <w:rsid w:val="00425AA4"/>
    <w:rsid w:val="00467CC9"/>
    <w:rsid w:val="004A370B"/>
    <w:rsid w:val="004F0619"/>
    <w:rsid w:val="00504A8D"/>
    <w:rsid w:val="00587FF4"/>
    <w:rsid w:val="0063785C"/>
    <w:rsid w:val="0067083C"/>
    <w:rsid w:val="006D3FAB"/>
    <w:rsid w:val="00747DF3"/>
    <w:rsid w:val="00791F16"/>
    <w:rsid w:val="00843E64"/>
    <w:rsid w:val="00867D64"/>
    <w:rsid w:val="00870190"/>
    <w:rsid w:val="008818B9"/>
    <w:rsid w:val="00943C44"/>
    <w:rsid w:val="009500ED"/>
    <w:rsid w:val="0097487A"/>
    <w:rsid w:val="009863C9"/>
    <w:rsid w:val="00991FBF"/>
    <w:rsid w:val="009C63A3"/>
    <w:rsid w:val="009D64A2"/>
    <w:rsid w:val="00A008BF"/>
    <w:rsid w:val="00A0118C"/>
    <w:rsid w:val="00A2213A"/>
    <w:rsid w:val="00A81AA7"/>
    <w:rsid w:val="00B34F86"/>
    <w:rsid w:val="00BE4948"/>
    <w:rsid w:val="00BE5003"/>
    <w:rsid w:val="00C80F89"/>
    <w:rsid w:val="00CA20F1"/>
    <w:rsid w:val="00D062C5"/>
    <w:rsid w:val="00D178E7"/>
    <w:rsid w:val="00D5399A"/>
    <w:rsid w:val="00D561D2"/>
    <w:rsid w:val="00D67AD8"/>
    <w:rsid w:val="00DD18AC"/>
    <w:rsid w:val="00DF436D"/>
    <w:rsid w:val="00E82ABF"/>
    <w:rsid w:val="00EC29A9"/>
    <w:rsid w:val="00EE1250"/>
    <w:rsid w:val="00FE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EED5B15"/>
  <w15:chartTrackingRefBased/>
  <w15:docId w15:val="{16CFFC13-041B-4E1E-BEC6-2F94E37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0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00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DF3"/>
    <w:pPr>
      <w:ind w:left="720"/>
      <w:contextualSpacing/>
    </w:pPr>
  </w:style>
  <w:style w:type="paragraph" w:styleId="Header">
    <w:name w:val="header"/>
    <w:basedOn w:val="Normal"/>
    <w:link w:val="HeaderChar"/>
    <w:uiPriority w:val="99"/>
    <w:unhideWhenUsed/>
    <w:rsid w:val="004F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19"/>
  </w:style>
  <w:style w:type="paragraph" w:styleId="Footer">
    <w:name w:val="footer"/>
    <w:basedOn w:val="Normal"/>
    <w:link w:val="FooterChar"/>
    <w:uiPriority w:val="99"/>
    <w:unhideWhenUsed/>
    <w:rsid w:val="004F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19"/>
  </w:style>
  <w:style w:type="paragraph" w:styleId="NoSpacing">
    <w:name w:val="No Spacing"/>
    <w:uiPriority w:val="1"/>
    <w:qFormat/>
    <w:rsid w:val="00587FF4"/>
    <w:pPr>
      <w:spacing w:after="0" w:line="240" w:lineRule="auto"/>
    </w:pPr>
  </w:style>
  <w:style w:type="paragraph" w:styleId="BalloonText">
    <w:name w:val="Balloon Text"/>
    <w:basedOn w:val="Normal"/>
    <w:link w:val="BalloonTextChar"/>
    <w:uiPriority w:val="99"/>
    <w:semiHidden/>
    <w:unhideWhenUsed/>
    <w:rsid w:val="0042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A4"/>
    <w:rPr>
      <w:rFonts w:ascii="Segoe UI" w:hAnsi="Segoe UI" w:cs="Segoe UI"/>
      <w:sz w:val="18"/>
      <w:szCs w:val="18"/>
    </w:rPr>
  </w:style>
  <w:style w:type="character" w:styleId="Hyperlink">
    <w:name w:val="Hyperlink"/>
    <w:basedOn w:val="DefaultParagraphFont"/>
    <w:uiPriority w:val="99"/>
    <w:unhideWhenUsed/>
    <w:rsid w:val="00A2213A"/>
    <w:rPr>
      <w:color w:val="0000FF"/>
      <w:u w:val="single"/>
    </w:rPr>
  </w:style>
  <w:style w:type="character" w:customStyle="1" w:styleId="Heading1Char">
    <w:name w:val="Heading 1 Char"/>
    <w:basedOn w:val="DefaultParagraphFont"/>
    <w:link w:val="Heading1"/>
    <w:uiPriority w:val="9"/>
    <w:rsid w:val="009500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00E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500E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9500ED"/>
    <w:rPr>
      <w:color w:val="605E5C"/>
      <w:shd w:val="clear" w:color="auto" w:fill="E1DFDD"/>
    </w:rPr>
  </w:style>
  <w:style w:type="character" w:customStyle="1" w:styleId="ozzzk">
    <w:name w:val="ozzzk"/>
    <w:basedOn w:val="DefaultParagraphFont"/>
    <w:rsid w:val="00A008BF"/>
  </w:style>
  <w:style w:type="character" w:customStyle="1" w:styleId="flwlv">
    <w:name w:val="flwlv"/>
    <w:basedOn w:val="DefaultParagraphFont"/>
    <w:rsid w:val="00A008BF"/>
  </w:style>
  <w:style w:type="character" w:customStyle="1" w:styleId="ms-button-label">
    <w:name w:val="ms-button-label"/>
    <w:basedOn w:val="DefaultParagraphFont"/>
    <w:rsid w:val="00A008BF"/>
  </w:style>
  <w:style w:type="character" w:styleId="FollowedHyperlink">
    <w:name w:val="FollowedHyperlink"/>
    <w:basedOn w:val="DefaultParagraphFont"/>
    <w:uiPriority w:val="99"/>
    <w:semiHidden/>
    <w:unhideWhenUsed/>
    <w:rsid w:val="00FE7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146208">
      <w:bodyDiv w:val="1"/>
      <w:marLeft w:val="0"/>
      <w:marRight w:val="0"/>
      <w:marTop w:val="0"/>
      <w:marBottom w:val="0"/>
      <w:divBdr>
        <w:top w:val="none" w:sz="0" w:space="0" w:color="auto"/>
        <w:left w:val="none" w:sz="0" w:space="0" w:color="auto"/>
        <w:bottom w:val="none" w:sz="0" w:space="0" w:color="auto"/>
        <w:right w:val="none" w:sz="0" w:space="0" w:color="auto"/>
      </w:divBdr>
      <w:divsChild>
        <w:div w:id="1828738255">
          <w:marLeft w:val="0"/>
          <w:marRight w:val="0"/>
          <w:marTop w:val="0"/>
          <w:marBottom w:val="60"/>
          <w:divBdr>
            <w:top w:val="none" w:sz="0" w:space="0" w:color="auto"/>
            <w:left w:val="none" w:sz="0" w:space="0" w:color="auto"/>
            <w:bottom w:val="none" w:sz="0" w:space="0" w:color="auto"/>
            <w:right w:val="none" w:sz="0" w:space="0" w:color="auto"/>
          </w:divBdr>
          <w:divsChild>
            <w:div w:id="955873745">
              <w:marLeft w:val="0"/>
              <w:marRight w:val="0"/>
              <w:marTop w:val="0"/>
              <w:marBottom w:val="0"/>
              <w:divBdr>
                <w:top w:val="none" w:sz="0" w:space="0" w:color="auto"/>
                <w:left w:val="none" w:sz="0" w:space="0" w:color="auto"/>
                <w:bottom w:val="none" w:sz="0" w:space="0" w:color="auto"/>
                <w:right w:val="none" w:sz="0" w:space="0" w:color="auto"/>
              </w:divBdr>
              <w:divsChild>
                <w:div w:id="4320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1456">
          <w:marLeft w:val="0"/>
          <w:marRight w:val="0"/>
          <w:marTop w:val="0"/>
          <w:marBottom w:val="0"/>
          <w:divBdr>
            <w:top w:val="none" w:sz="0" w:space="0" w:color="auto"/>
            <w:left w:val="none" w:sz="0" w:space="0" w:color="auto"/>
            <w:bottom w:val="none" w:sz="0" w:space="0" w:color="auto"/>
            <w:right w:val="none" w:sz="0" w:space="0" w:color="auto"/>
          </w:divBdr>
          <w:divsChild>
            <w:div w:id="1664360655">
              <w:marLeft w:val="0"/>
              <w:marRight w:val="0"/>
              <w:marTop w:val="0"/>
              <w:marBottom w:val="0"/>
              <w:divBdr>
                <w:top w:val="none" w:sz="0" w:space="0" w:color="auto"/>
                <w:left w:val="none" w:sz="0" w:space="0" w:color="auto"/>
                <w:bottom w:val="none" w:sz="0" w:space="0" w:color="auto"/>
                <w:right w:val="none" w:sz="0" w:space="0" w:color="auto"/>
              </w:divBdr>
              <w:divsChild>
                <w:div w:id="1504315467">
                  <w:marLeft w:val="0"/>
                  <w:marRight w:val="0"/>
                  <w:marTop w:val="0"/>
                  <w:marBottom w:val="0"/>
                  <w:divBdr>
                    <w:top w:val="none" w:sz="0" w:space="0" w:color="auto"/>
                    <w:left w:val="none" w:sz="0" w:space="0" w:color="auto"/>
                    <w:bottom w:val="none" w:sz="0" w:space="0" w:color="auto"/>
                    <w:right w:val="none" w:sz="0" w:space="0" w:color="auto"/>
                  </w:divBdr>
                  <w:divsChild>
                    <w:div w:id="562759069">
                      <w:marLeft w:val="0"/>
                      <w:marRight w:val="0"/>
                      <w:marTop w:val="0"/>
                      <w:marBottom w:val="0"/>
                      <w:divBdr>
                        <w:top w:val="none" w:sz="0" w:space="0" w:color="auto"/>
                        <w:left w:val="none" w:sz="0" w:space="0" w:color="auto"/>
                        <w:bottom w:val="none" w:sz="0" w:space="0" w:color="auto"/>
                        <w:right w:val="none" w:sz="0" w:space="0" w:color="auto"/>
                      </w:divBdr>
                      <w:divsChild>
                        <w:div w:id="7724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1624">
                  <w:marLeft w:val="0"/>
                  <w:marRight w:val="0"/>
                  <w:marTop w:val="0"/>
                  <w:marBottom w:val="0"/>
                  <w:divBdr>
                    <w:top w:val="none" w:sz="0" w:space="0" w:color="auto"/>
                    <w:left w:val="none" w:sz="0" w:space="0" w:color="auto"/>
                    <w:bottom w:val="none" w:sz="0" w:space="0" w:color="auto"/>
                    <w:right w:val="none" w:sz="0" w:space="0" w:color="auto"/>
                  </w:divBdr>
                  <w:divsChild>
                    <w:div w:id="688676675">
                      <w:marLeft w:val="0"/>
                      <w:marRight w:val="0"/>
                      <w:marTop w:val="0"/>
                      <w:marBottom w:val="0"/>
                      <w:divBdr>
                        <w:top w:val="none" w:sz="0" w:space="0" w:color="auto"/>
                        <w:left w:val="none" w:sz="0" w:space="0" w:color="auto"/>
                        <w:bottom w:val="none" w:sz="0" w:space="0" w:color="auto"/>
                        <w:right w:val="none" w:sz="0" w:space="0" w:color="auto"/>
                      </w:divBdr>
                    </w:div>
                  </w:divsChild>
                </w:div>
                <w:div w:id="2067601673">
                  <w:marLeft w:val="0"/>
                  <w:marRight w:val="0"/>
                  <w:marTop w:val="0"/>
                  <w:marBottom w:val="0"/>
                  <w:divBdr>
                    <w:top w:val="none" w:sz="0" w:space="0" w:color="auto"/>
                    <w:left w:val="none" w:sz="0" w:space="0" w:color="auto"/>
                    <w:bottom w:val="none" w:sz="0" w:space="0" w:color="auto"/>
                    <w:right w:val="none" w:sz="0" w:space="0" w:color="auto"/>
                  </w:divBdr>
                  <w:divsChild>
                    <w:div w:id="1418478653">
                      <w:marLeft w:val="0"/>
                      <w:marRight w:val="0"/>
                      <w:marTop w:val="0"/>
                      <w:marBottom w:val="0"/>
                      <w:divBdr>
                        <w:top w:val="none" w:sz="0" w:space="0" w:color="auto"/>
                        <w:left w:val="none" w:sz="0" w:space="0" w:color="auto"/>
                        <w:bottom w:val="none" w:sz="0" w:space="0" w:color="auto"/>
                        <w:right w:val="none" w:sz="0" w:space="0" w:color="auto"/>
                      </w:divBdr>
                    </w:div>
                  </w:divsChild>
                </w:div>
                <w:div w:id="1714570886">
                  <w:marLeft w:val="0"/>
                  <w:marRight w:val="0"/>
                  <w:marTop w:val="0"/>
                  <w:marBottom w:val="0"/>
                  <w:divBdr>
                    <w:top w:val="none" w:sz="0" w:space="0" w:color="auto"/>
                    <w:left w:val="none" w:sz="0" w:space="0" w:color="auto"/>
                    <w:bottom w:val="none" w:sz="0" w:space="0" w:color="auto"/>
                    <w:right w:val="none" w:sz="0" w:space="0" w:color="auto"/>
                  </w:divBdr>
                  <w:divsChild>
                    <w:div w:id="2469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sa.gov.au/services-and-events/apply-for-a-police-record-check" TargetMode="External"/><Relationship Id="rId13" Type="http://schemas.openxmlformats.org/officeDocument/2006/relationships/hyperlink" Target="mailto:Health.StudentHADActivations@sa.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pg2pdf.com/" TargetMode="External"/><Relationship Id="rId12" Type="http://schemas.openxmlformats.org/officeDocument/2006/relationships/hyperlink" Target="mailto:health.emrtraining@sa.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bq.sahealth.sa.gov.au/tbquestionnai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health.sa.gov.au/wps/wcm/connect/b2f26b004fe33c4c979eb703541ce8ed/Training+tool+for+correct+use+PPE_v2.6+%28Oct2020%29.pdf?MOD=AJPERES&amp;amp;CACHEID=ROOTWORKSPACE-b2f26b004fe33c4c979eb703541ce8ed-nwncpZH" TargetMode="External"/><Relationship Id="rId4" Type="http://schemas.openxmlformats.org/officeDocument/2006/relationships/webSettings" Target="webSettings.xml"/><Relationship Id="rId9" Type="http://schemas.openxmlformats.org/officeDocument/2006/relationships/hyperlink" Target="https://screening.sa.gov.au/applications/application-information-for-individuals" TargetMode="External"/><Relationship Id="rId14" Type="http://schemas.openxmlformats.org/officeDocument/2006/relationships/hyperlink" Target="mailto:clinicalplacement@acn.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1400</Words>
  <Characters>7559</Characters>
  <Application>Microsoft Office Word</Application>
  <DocSecurity>0</DocSecurity>
  <Lines>200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Dr Mary Nguyen</cp:lastModifiedBy>
  <cp:revision>13</cp:revision>
  <dcterms:created xsi:type="dcterms:W3CDTF">2023-03-22T00:41:00Z</dcterms:created>
  <dcterms:modified xsi:type="dcterms:W3CDTF">2024-05-01T06:46:00Z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f89ce86b24d47ae0f4a04ea4bfc83bf80be8411eb9f2809b41e43357df5000df</vt:lpwstr>
  </property>
</Properties>
</file>