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300BD" w14:textId="7672DA87" w:rsidR="001A28CA" w:rsidRDefault="001A28CA" w:rsidP="000C74F3">
      <w:pPr>
        <w:rPr>
          <w:b/>
          <w:sz w:val="20"/>
        </w:rPr>
      </w:pPr>
    </w:p>
    <w:tbl>
      <w:tblPr>
        <w:tblStyle w:val="TableGrid"/>
        <w:tblW w:w="9644" w:type="dxa"/>
        <w:tblInd w:w="-145" w:type="dxa"/>
        <w:tblLook w:val="04A0" w:firstRow="1" w:lastRow="0" w:firstColumn="1" w:lastColumn="0" w:noHBand="0" w:noVBand="1"/>
      </w:tblPr>
      <w:tblGrid>
        <w:gridCol w:w="6480"/>
        <w:gridCol w:w="1620"/>
        <w:gridCol w:w="1544"/>
      </w:tblGrid>
      <w:tr w:rsidR="00D178E7" w14:paraId="72643CEE" w14:textId="77777777" w:rsidTr="00D178E7">
        <w:trPr>
          <w:trHeight w:val="1152"/>
        </w:trPr>
        <w:tc>
          <w:tcPr>
            <w:tcW w:w="9644" w:type="dxa"/>
            <w:gridSpan w:val="3"/>
          </w:tcPr>
          <w:p w14:paraId="060BAA79" w14:textId="77777777" w:rsidR="00D178E7" w:rsidRDefault="00D178E7" w:rsidP="000C74F3">
            <w:pPr>
              <w:rPr>
                <w:b/>
                <w:sz w:val="20"/>
              </w:rPr>
            </w:pPr>
          </w:p>
          <w:p w14:paraId="4EC9AF92" w14:textId="7416C667" w:rsidR="00D178E7" w:rsidRDefault="00D178E7" w:rsidP="000C74F3">
            <w:pPr>
              <w:rPr>
                <w:b/>
                <w:sz w:val="20"/>
              </w:rPr>
            </w:pPr>
            <w:r>
              <w:rPr>
                <w:b/>
                <w:sz w:val="20"/>
              </w:rPr>
              <w:t xml:space="preserve">Student ID:  </w:t>
            </w:r>
          </w:p>
          <w:p w14:paraId="2A614ABC" w14:textId="77777777" w:rsidR="00D178E7" w:rsidRDefault="00D178E7" w:rsidP="000C74F3">
            <w:pPr>
              <w:rPr>
                <w:sz w:val="20"/>
              </w:rPr>
            </w:pPr>
          </w:p>
          <w:p w14:paraId="0E59F4C4" w14:textId="28C64FC3" w:rsidR="00D178E7" w:rsidRDefault="00D178E7" w:rsidP="000C74F3">
            <w:pPr>
              <w:rPr>
                <w:b/>
                <w:sz w:val="20"/>
              </w:rPr>
            </w:pPr>
            <w:r w:rsidRPr="000C74F3">
              <w:rPr>
                <w:b/>
                <w:sz w:val="20"/>
              </w:rPr>
              <w:t>Course/Subject:</w:t>
            </w:r>
            <w:r w:rsidR="00262E91">
              <w:rPr>
                <w:b/>
                <w:sz w:val="20"/>
              </w:rPr>
              <w:t xml:space="preserve"> </w:t>
            </w:r>
          </w:p>
          <w:p w14:paraId="2C0FBA21" w14:textId="77777777" w:rsidR="00D178E7" w:rsidRPr="000C74F3" w:rsidRDefault="00D178E7" w:rsidP="000C74F3">
            <w:pPr>
              <w:rPr>
                <w:b/>
                <w:sz w:val="20"/>
              </w:rPr>
            </w:pPr>
          </w:p>
        </w:tc>
      </w:tr>
      <w:tr w:rsidR="00D178E7" w14:paraId="6F36168B" w14:textId="77777777" w:rsidTr="00D178E7">
        <w:tc>
          <w:tcPr>
            <w:tcW w:w="6480" w:type="dxa"/>
            <w:vMerge w:val="restart"/>
            <w:shd w:val="clear" w:color="auto" w:fill="BFBFBF" w:themeFill="background1" w:themeFillShade="BF"/>
          </w:tcPr>
          <w:p w14:paraId="2E9C94B5" w14:textId="77777777" w:rsidR="00D178E7" w:rsidRDefault="00D178E7" w:rsidP="001A28CA">
            <w:pPr>
              <w:jc w:val="center"/>
              <w:rPr>
                <w:b/>
                <w:sz w:val="28"/>
              </w:rPr>
            </w:pPr>
          </w:p>
          <w:p w14:paraId="1952079A" w14:textId="4D106663" w:rsidR="00D178E7" w:rsidRPr="000C74F3" w:rsidRDefault="0063785C" w:rsidP="001A28CA">
            <w:pPr>
              <w:jc w:val="center"/>
              <w:rPr>
                <w:b/>
                <w:sz w:val="28"/>
              </w:rPr>
            </w:pPr>
            <w:r>
              <w:rPr>
                <w:b/>
                <w:sz w:val="28"/>
              </w:rPr>
              <w:t>WA</w:t>
            </w:r>
            <w:r w:rsidR="00D178E7" w:rsidRPr="000C74F3">
              <w:rPr>
                <w:b/>
                <w:sz w:val="28"/>
              </w:rPr>
              <w:t xml:space="preserve"> Documentation Required </w:t>
            </w:r>
          </w:p>
        </w:tc>
        <w:tc>
          <w:tcPr>
            <w:tcW w:w="3164" w:type="dxa"/>
            <w:gridSpan w:val="2"/>
            <w:shd w:val="clear" w:color="auto" w:fill="BFBFBF" w:themeFill="background1" w:themeFillShade="BF"/>
          </w:tcPr>
          <w:p w14:paraId="7AFA4BAD" w14:textId="71B7C7FA" w:rsidR="00D178E7" w:rsidRDefault="00D178E7" w:rsidP="009D64A2">
            <w:pPr>
              <w:tabs>
                <w:tab w:val="left" w:pos="675"/>
                <w:tab w:val="center" w:pos="1339"/>
              </w:tabs>
              <w:rPr>
                <w:b/>
                <w:sz w:val="20"/>
              </w:rPr>
            </w:pPr>
            <w:r>
              <w:rPr>
                <w:b/>
                <w:sz w:val="20"/>
              </w:rPr>
              <w:tab/>
            </w:r>
            <w:r>
              <w:rPr>
                <w:b/>
                <w:sz w:val="20"/>
              </w:rPr>
              <w:tab/>
              <w:t xml:space="preserve"> </w:t>
            </w:r>
          </w:p>
        </w:tc>
      </w:tr>
      <w:tr w:rsidR="00D178E7" w14:paraId="31599718" w14:textId="77777777" w:rsidTr="00D178E7">
        <w:tc>
          <w:tcPr>
            <w:tcW w:w="6480" w:type="dxa"/>
            <w:vMerge/>
            <w:shd w:val="clear" w:color="auto" w:fill="BFBFBF" w:themeFill="background1" w:themeFillShade="BF"/>
          </w:tcPr>
          <w:p w14:paraId="23A5058A" w14:textId="77777777" w:rsidR="00D178E7" w:rsidRPr="000C74F3" w:rsidRDefault="00D178E7" w:rsidP="00747DF3">
            <w:pPr>
              <w:jc w:val="center"/>
              <w:rPr>
                <w:b/>
                <w:sz w:val="28"/>
              </w:rPr>
            </w:pPr>
          </w:p>
        </w:tc>
        <w:tc>
          <w:tcPr>
            <w:tcW w:w="1620" w:type="dxa"/>
            <w:shd w:val="clear" w:color="auto" w:fill="BFBFBF" w:themeFill="background1" w:themeFillShade="BF"/>
          </w:tcPr>
          <w:p w14:paraId="0CD23589" w14:textId="75E676B6" w:rsidR="00D178E7" w:rsidRDefault="00F95D53" w:rsidP="00747DF3">
            <w:pPr>
              <w:jc w:val="center"/>
              <w:rPr>
                <w:b/>
                <w:sz w:val="20"/>
              </w:rPr>
            </w:pPr>
            <w:r>
              <w:rPr>
                <w:b/>
                <w:sz w:val="20"/>
              </w:rPr>
              <w:t>Student self-check (tick)</w:t>
            </w:r>
          </w:p>
        </w:tc>
        <w:tc>
          <w:tcPr>
            <w:tcW w:w="1544" w:type="dxa"/>
            <w:shd w:val="clear" w:color="auto" w:fill="BFBFBF" w:themeFill="background1" w:themeFillShade="BF"/>
          </w:tcPr>
          <w:p w14:paraId="775C774C" w14:textId="59421AD7" w:rsidR="00D178E7" w:rsidRDefault="00F95D53" w:rsidP="00747DF3">
            <w:pPr>
              <w:jc w:val="center"/>
              <w:rPr>
                <w:b/>
                <w:sz w:val="20"/>
              </w:rPr>
            </w:pPr>
            <w:r>
              <w:rPr>
                <w:b/>
                <w:sz w:val="20"/>
              </w:rPr>
              <w:t>Customer Service Officer (tick)</w:t>
            </w:r>
          </w:p>
        </w:tc>
      </w:tr>
      <w:tr w:rsidR="00D178E7" w14:paraId="1B9878DA" w14:textId="77777777" w:rsidTr="00D178E7">
        <w:tc>
          <w:tcPr>
            <w:tcW w:w="6480" w:type="dxa"/>
            <w:vAlign w:val="center"/>
          </w:tcPr>
          <w:p w14:paraId="1ABF77AD" w14:textId="130CBBCA" w:rsidR="00D178E7" w:rsidRPr="00F95D53" w:rsidRDefault="00D178E7" w:rsidP="00F95D53">
            <w:pPr>
              <w:pStyle w:val="ListParagraph"/>
              <w:numPr>
                <w:ilvl w:val="0"/>
                <w:numId w:val="5"/>
              </w:numPr>
              <w:rPr>
                <w:szCs w:val="24"/>
              </w:rPr>
            </w:pPr>
            <w:r w:rsidRPr="00F95D53">
              <w:rPr>
                <w:szCs w:val="24"/>
              </w:rPr>
              <w:t>Student ID Card</w:t>
            </w:r>
            <w:r w:rsidR="00843E64" w:rsidRPr="00F95D53">
              <w:rPr>
                <w:szCs w:val="24"/>
              </w:rPr>
              <w:t xml:space="preserve"> (Head Shot Photo)</w:t>
            </w:r>
          </w:p>
        </w:tc>
        <w:tc>
          <w:tcPr>
            <w:tcW w:w="1620" w:type="dxa"/>
          </w:tcPr>
          <w:p w14:paraId="3E5EEF54" w14:textId="23571C71" w:rsidR="00D178E7" w:rsidRPr="004F0619" w:rsidRDefault="00D178E7" w:rsidP="00747DF3">
            <w:pPr>
              <w:jc w:val="center"/>
              <w:rPr>
                <w:b/>
                <w:sz w:val="40"/>
              </w:rPr>
            </w:pPr>
          </w:p>
        </w:tc>
        <w:tc>
          <w:tcPr>
            <w:tcW w:w="1544" w:type="dxa"/>
          </w:tcPr>
          <w:p w14:paraId="5B104E4B" w14:textId="77777777" w:rsidR="00D178E7" w:rsidRDefault="00D178E7" w:rsidP="00747DF3">
            <w:pPr>
              <w:rPr>
                <w:b/>
                <w:sz w:val="20"/>
              </w:rPr>
            </w:pPr>
          </w:p>
        </w:tc>
      </w:tr>
      <w:tr w:rsidR="00D178E7" w14:paraId="7E32B012" w14:textId="77777777" w:rsidTr="00D178E7">
        <w:tc>
          <w:tcPr>
            <w:tcW w:w="6480" w:type="dxa"/>
            <w:vAlign w:val="center"/>
          </w:tcPr>
          <w:p w14:paraId="6E4D3372" w14:textId="4A57CCA7" w:rsidR="00D178E7" w:rsidRPr="00F95D53" w:rsidRDefault="00D178E7" w:rsidP="00F95D53">
            <w:pPr>
              <w:pStyle w:val="ListParagraph"/>
              <w:numPr>
                <w:ilvl w:val="0"/>
                <w:numId w:val="5"/>
              </w:numPr>
              <w:rPr>
                <w:szCs w:val="24"/>
              </w:rPr>
            </w:pPr>
            <w:r w:rsidRPr="00F95D53">
              <w:rPr>
                <w:szCs w:val="24"/>
              </w:rPr>
              <w:t>Australian Police Check (must be less than 12 months old)</w:t>
            </w:r>
          </w:p>
        </w:tc>
        <w:tc>
          <w:tcPr>
            <w:tcW w:w="1620" w:type="dxa"/>
          </w:tcPr>
          <w:p w14:paraId="22BB90C8" w14:textId="2DAB653A" w:rsidR="00D178E7" w:rsidRPr="004F0619" w:rsidRDefault="00D178E7" w:rsidP="00747DF3">
            <w:pPr>
              <w:jc w:val="center"/>
              <w:rPr>
                <w:b/>
                <w:sz w:val="40"/>
              </w:rPr>
            </w:pPr>
          </w:p>
        </w:tc>
        <w:tc>
          <w:tcPr>
            <w:tcW w:w="1544" w:type="dxa"/>
          </w:tcPr>
          <w:p w14:paraId="10ADFF95" w14:textId="77777777" w:rsidR="00D178E7" w:rsidRDefault="00D178E7" w:rsidP="00747DF3">
            <w:pPr>
              <w:rPr>
                <w:b/>
                <w:sz w:val="20"/>
              </w:rPr>
            </w:pPr>
          </w:p>
        </w:tc>
      </w:tr>
      <w:tr w:rsidR="00D178E7" w14:paraId="4EA388C4" w14:textId="77777777" w:rsidTr="00D178E7">
        <w:tc>
          <w:tcPr>
            <w:tcW w:w="6480" w:type="dxa"/>
            <w:vAlign w:val="center"/>
          </w:tcPr>
          <w:p w14:paraId="164A21AB" w14:textId="7DE4F632" w:rsidR="00D178E7" w:rsidRPr="00F95D53" w:rsidRDefault="0063785C" w:rsidP="00F95D53">
            <w:pPr>
              <w:pStyle w:val="ListParagraph"/>
              <w:numPr>
                <w:ilvl w:val="0"/>
                <w:numId w:val="5"/>
              </w:numPr>
              <w:rPr>
                <w:szCs w:val="24"/>
              </w:rPr>
            </w:pPr>
            <w:r w:rsidRPr="00F95D53">
              <w:rPr>
                <w:szCs w:val="24"/>
              </w:rPr>
              <w:t>Western Australian (WA) Working with Children Card (WWC)</w:t>
            </w:r>
          </w:p>
        </w:tc>
        <w:tc>
          <w:tcPr>
            <w:tcW w:w="1620" w:type="dxa"/>
          </w:tcPr>
          <w:p w14:paraId="34FA6760" w14:textId="131F2A6D" w:rsidR="00D178E7" w:rsidRPr="0063785C" w:rsidRDefault="00D178E7" w:rsidP="00991FBF">
            <w:pPr>
              <w:pStyle w:val="ListParagraph"/>
              <w:rPr>
                <w:b/>
                <w:sz w:val="40"/>
              </w:rPr>
            </w:pPr>
          </w:p>
        </w:tc>
        <w:tc>
          <w:tcPr>
            <w:tcW w:w="1544" w:type="dxa"/>
          </w:tcPr>
          <w:p w14:paraId="055CA7F1" w14:textId="77777777" w:rsidR="00D178E7" w:rsidRDefault="00D178E7" w:rsidP="00747DF3">
            <w:pPr>
              <w:rPr>
                <w:b/>
                <w:sz w:val="20"/>
              </w:rPr>
            </w:pPr>
          </w:p>
        </w:tc>
      </w:tr>
      <w:tr w:rsidR="00F95D53" w14:paraId="2A2E5980" w14:textId="77777777" w:rsidTr="00D178E7">
        <w:tc>
          <w:tcPr>
            <w:tcW w:w="6480" w:type="dxa"/>
            <w:vAlign w:val="center"/>
          </w:tcPr>
          <w:p w14:paraId="4F482297" w14:textId="1D92BD1C" w:rsidR="00F95D53" w:rsidRPr="00F95D53" w:rsidRDefault="00F95D53" w:rsidP="00F95D53">
            <w:pPr>
              <w:pStyle w:val="ListParagraph"/>
              <w:numPr>
                <w:ilvl w:val="0"/>
                <w:numId w:val="5"/>
              </w:numPr>
              <w:rPr>
                <w:szCs w:val="24"/>
              </w:rPr>
            </w:pPr>
            <w:r>
              <w:rPr>
                <w:szCs w:val="24"/>
              </w:rPr>
              <w:t>Mask fit test</w:t>
            </w:r>
          </w:p>
        </w:tc>
        <w:tc>
          <w:tcPr>
            <w:tcW w:w="1620" w:type="dxa"/>
          </w:tcPr>
          <w:p w14:paraId="1D63E1CF" w14:textId="77777777" w:rsidR="00F95D53" w:rsidRPr="0063785C" w:rsidRDefault="00F95D53" w:rsidP="00991FBF">
            <w:pPr>
              <w:pStyle w:val="ListParagraph"/>
              <w:rPr>
                <w:b/>
                <w:sz w:val="40"/>
              </w:rPr>
            </w:pPr>
          </w:p>
        </w:tc>
        <w:tc>
          <w:tcPr>
            <w:tcW w:w="1544" w:type="dxa"/>
          </w:tcPr>
          <w:p w14:paraId="1BDA8BB5" w14:textId="77777777" w:rsidR="00F95D53" w:rsidRDefault="00F95D53" w:rsidP="00747DF3">
            <w:pPr>
              <w:rPr>
                <w:b/>
                <w:sz w:val="20"/>
              </w:rPr>
            </w:pPr>
          </w:p>
        </w:tc>
      </w:tr>
      <w:tr w:rsidR="00D178E7" w14:paraId="4FBBC378" w14:textId="77777777" w:rsidTr="00D178E7">
        <w:tc>
          <w:tcPr>
            <w:tcW w:w="6480" w:type="dxa"/>
            <w:vAlign w:val="center"/>
          </w:tcPr>
          <w:p w14:paraId="2DBD6AC9" w14:textId="03EB5BE3" w:rsidR="00D178E7" w:rsidRPr="00D178E7" w:rsidRDefault="00F95D53" w:rsidP="00F95D53">
            <w:pPr>
              <w:pStyle w:val="ListParagraph"/>
              <w:numPr>
                <w:ilvl w:val="0"/>
                <w:numId w:val="5"/>
              </w:numPr>
            </w:pPr>
            <w:r>
              <w:t>Diphtheria/Tetanus/Pertussis (DTPA Vaccine)</w:t>
            </w:r>
            <w:r w:rsidR="00D178E7">
              <w:t xml:space="preserve"> </w:t>
            </w:r>
          </w:p>
        </w:tc>
        <w:tc>
          <w:tcPr>
            <w:tcW w:w="1620" w:type="dxa"/>
          </w:tcPr>
          <w:p w14:paraId="56B66248" w14:textId="4415CB25" w:rsidR="00D178E7" w:rsidRPr="0063785C" w:rsidRDefault="00D178E7" w:rsidP="00991FBF">
            <w:pPr>
              <w:pStyle w:val="ListParagraph"/>
              <w:rPr>
                <w:b/>
                <w:sz w:val="40"/>
              </w:rPr>
            </w:pPr>
          </w:p>
        </w:tc>
        <w:tc>
          <w:tcPr>
            <w:tcW w:w="1544" w:type="dxa"/>
          </w:tcPr>
          <w:p w14:paraId="2DE54604" w14:textId="77777777" w:rsidR="00D178E7" w:rsidRDefault="00D178E7" w:rsidP="001A28CA">
            <w:pPr>
              <w:rPr>
                <w:b/>
                <w:sz w:val="20"/>
              </w:rPr>
            </w:pPr>
          </w:p>
        </w:tc>
      </w:tr>
      <w:tr w:rsidR="00F95D53" w14:paraId="2CB05B0A" w14:textId="77777777" w:rsidTr="00D178E7">
        <w:tc>
          <w:tcPr>
            <w:tcW w:w="6480" w:type="dxa"/>
            <w:vAlign w:val="center"/>
          </w:tcPr>
          <w:p w14:paraId="6D657C67" w14:textId="7730D207" w:rsidR="00F95D53" w:rsidRDefault="00F95D53" w:rsidP="00F95D53">
            <w:pPr>
              <w:pStyle w:val="ListParagraph"/>
              <w:numPr>
                <w:ilvl w:val="0"/>
                <w:numId w:val="5"/>
              </w:numPr>
            </w:pPr>
            <w:r w:rsidRPr="001A28CA">
              <w:t>Hepatitis B</w:t>
            </w:r>
          </w:p>
        </w:tc>
        <w:tc>
          <w:tcPr>
            <w:tcW w:w="1620" w:type="dxa"/>
          </w:tcPr>
          <w:p w14:paraId="69625B19" w14:textId="77777777" w:rsidR="00F95D53" w:rsidRPr="0063785C" w:rsidRDefault="00F95D53" w:rsidP="00991FBF">
            <w:pPr>
              <w:pStyle w:val="ListParagraph"/>
              <w:rPr>
                <w:b/>
                <w:sz w:val="40"/>
              </w:rPr>
            </w:pPr>
          </w:p>
        </w:tc>
        <w:tc>
          <w:tcPr>
            <w:tcW w:w="1544" w:type="dxa"/>
          </w:tcPr>
          <w:p w14:paraId="7D4DCCA2" w14:textId="77777777" w:rsidR="00F95D53" w:rsidRDefault="00F95D53" w:rsidP="001A28CA">
            <w:pPr>
              <w:rPr>
                <w:b/>
                <w:sz w:val="20"/>
              </w:rPr>
            </w:pPr>
          </w:p>
        </w:tc>
      </w:tr>
      <w:tr w:rsidR="00F95D53" w14:paraId="23E72C5D" w14:textId="77777777" w:rsidTr="00D178E7">
        <w:tc>
          <w:tcPr>
            <w:tcW w:w="6480" w:type="dxa"/>
            <w:vAlign w:val="center"/>
          </w:tcPr>
          <w:p w14:paraId="656CEAD0" w14:textId="4EFF5E9B" w:rsidR="00F95D53" w:rsidRPr="001A28CA" w:rsidRDefault="00F95D53" w:rsidP="00F95D53">
            <w:pPr>
              <w:pStyle w:val="ListParagraph"/>
              <w:numPr>
                <w:ilvl w:val="0"/>
                <w:numId w:val="5"/>
              </w:numPr>
            </w:pPr>
            <w:r w:rsidRPr="001A28CA">
              <w:t>Measles, Mumps and Rubella</w:t>
            </w:r>
          </w:p>
        </w:tc>
        <w:tc>
          <w:tcPr>
            <w:tcW w:w="1620" w:type="dxa"/>
          </w:tcPr>
          <w:p w14:paraId="1E791351" w14:textId="77777777" w:rsidR="00F95D53" w:rsidRPr="0063785C" w:rsidRDefault="00F95D53" w:rsidP="00991FBF">
            <w:pPr>
              <w:pStyle w:val="ListParagraph"/>
              <w:rPr>
                <w:b/>
                <w:sz w:val="40"/>
              </w:rPr>
            </w:pPr>
          </w:p>
        </w:tc>
        <w:tc>
          <w:tcPr>
            <w:tcW w:w="1544" w:type="dxa"/>
          </w:tcPr>
          <w:p w14:paraId="25E6D787" w14:textId="77777777" w:rsidR="00F95D53" w:rsidRDefault="00F95D53" w:rsidP="001A28CA">
            <w:pPr>
              <w:rPr>
                <w:b/>
                <w:sz w:val="20"/>
              </w:rPr>
            </w:pPr>
          </w:p>
        </w:tc>
      </w:tr>
      <w:tr w:rsidR="00F95D53" w14:paraId="0C0EC84D" w14:textId="77777777" w:rsidTr="00D178E7">
        <w:tc>
          <w:tcPr>
            <w:tcW w:w="6480" w:type="dxa"/>
            <w:vAlign w:val="center"/>
          </w:tcPr>
          <w:p w14:paraId="5A14899A" w14:textId="7EAE68AE" w:rsidR="00F95D53" w:rsidRPr="001A28CA" w:rsidRDefault="00F95D53" w:rsidP="00F95D53">
            <w:pPr>
              <w:pStyle w:val="ListParagraph"/>
              <w:numPr>
                <w:ilvl w:val="0"/>
                <w:numId w:val="5"/>
              </w:numPr>
            </w:pPr>
            <w:proofErr w:type="spellStart"/>
            <w:r>
              <w:t>Varciella</w:t>
            </w:r>
            <w:proofErr w:type="spellEnd"/>
          </w:p>
        </w:tc>
        <w:tc>
          <w:tcPr>
            <w:tcW w:w="1620" w:type="dxa"/>
          </w:tcPr>
          <w:p w14:paraId="60EFCC68" w14:textId="77777777" w:rsidR="00F95D53" w:rsidRPr="0063785C" w:rsidRDefault="00F95D53" w:rsidP="00991FBF">
            <w:pPr>
              <w:pStyle w:val="ListParagraph"/>
              <w:rPr>
                <w:b/>
                <w:sz w:val="40"/>
              </w:rPr>
            </w:pPr>
          </w:p>
        </w:tc>
        <w:tc>
          <w:tcPr>
            <w:tcW w:w="1544" w:type="dxa"/>
          </w:tcPr>
          <w:p w14:paraId="6A81AE76" w14:textId="77777777" w:rsidR="00F95D53" w:rsidRDefault="00F95D53" w:rsidP="001A28CA">
            <w:pPr>
              <w:rPr>
                <w:b/>
                <w:sz w:val="20"/>
              </w:rPr>
            </w:pPr>
          </w:p>
        </w:tc>
      </w:tr>
      <w:tr w:rsidR="00F95D53" w14:paraId="43562369" w14:textId="77777777" w:rsidTr="00D178E7">
        <w:tc>
          <w:tcPr>
            <w:tcW w:w="6480" w:type="dxa"/>
            <w:vAlign w:val="center"/>
          </w:tcPr>
          <w:p w14:paraId="60A482B2" w14:textId="71E0000A" w:rsidR="00F95D53" w:rsidRPr="001A28CA" w:rsidRDefault="00F95D53" w:rsidP="00F95D53">
            <w:pPr>
              <w:pStyle w:val="ListParagraph"/>
              <w:numPr>
                <w:ilvl w:val="0"/>
                <w:numId w:val="5"/>
              </w:numPr>
              <w:spacing w:after="160" w:line="259" w:lineRule="auto"/>
            </w:pPr>
            <w:r w:rsidRPr="00F95D53">
              <w:t>Tuberculosis (</w:t>
            </w:r>
            <w:proofErr w:type="spellStart"/>
            <w:r w:rsidRPr="00F95D53">
              <w:t>Quantiferon</w:t>
            </w:r>
            <w:proofErr w:type="spellEnd"/>
            <w:r w:rsidRPr="00F95D53">
              <w:t>) or Mantoux (skin) test and clearance</w:t>
            </w:r>
            <w:r w:rsidR="0022441A">
              <w:t xml:space="preserve"> (within 12 months)</w:t>
            </w:r>
          </w:p>
        </w:tc>
        <w:tc>
          <w:tcPr>
            <w:tcW w:w="1620" w:type="dxa"/>
          </w:tcPr>
          <w:p w14:paraId="2236E299" w14:textId="77777777" w:rsidR="00F95D53" w:rsidRPr="0063785C" w:rsidRDefault="00F95D53" w:rsidP="00991FBF">
            <w:pPr>
              <w:pStyle w:val="ListParagraph"/>
              <w:rPr>
                <w:b/>
                <w:sz w:val="40"/>
              </w:rPr>
            </w:pPr>
          </w:p>
        </w:tc>
        <w:tc>
          <w:tcPr>
            <w:tcW w:w="1544" w:type="dxa"/>
          </w:tcPr>
          <w:p w14:paraId="2E9FCBB1" w14:textId="77777777" w:rsidR="00F95D53" w:rsidRDefault="00F95D53" w:rsidP="001A28CA">
            <w:pPr>
              <w:rPr>
                <w:b/>
                <w:sz w:val="20"/>
              </w:rPr>
            </w:pPr>
          </w:p>
        </w:tc>
      </w:tr>
      <w:tr w:rsidR="00F95D53" w14:paraId="458341A6" w14:textId="77777777" w:rsidTr="00D178E7">
        <w:tc>
          <w:tcPr>
            <w:tcW w:w="6480" w:type="dxa"/>
            <w:vAlign w:val="center"/>
          </w:tcPr>
          <w:p w14:paraId="4AB4CE81" w14:textId="0BD30783" w:rsidR="00F95D53" w:rsidRPr="00F95D53" w:rsidRDefault="00F95D53" w:rsidP="00F95D53">
            <w:pPr>
              <w:pStyle w:val="ListParagraph"/>
              <w:numPr>
                <w:ilvl w:val="0"/>
                <w:numId w:val="5"/>
              </w:numPr>
              <w:spacing w:after="160" w:line="259" w:lineRule="auto"/>
            </w:pPr>
            <w:r w:rsidRPr="00F95D53">
              <w:t>Methicillin-Resistant Staphylococcus Aureus (MRSA) screening</w:t>
            </w:r>
          </w:p>
        </w:tc>
        <w:tc>
          <w:tcPr>
            <w:tcW w:w="1620" w:type="dxa"/>
          </w:tcPr>
          <w:p w14:paraId="1562FB7D" w14:textId="77777777" w:rsidR="00F95D53" w:rsidRPr="0063785C" w:rsidRDefault="00F95D53" w:rsidP="00991FBF">
            <w:pPr>
              <w:pStyle w:val="ListParagraph"/>
              <w:rPr>
                <w:b/>
                <w:sz w:val="40"/>
              </w:rPr>
            </w:pPr>
          </w:p>
        </w:tc>
        <w:tc>
          <w:tcPr>
            <w:tcW w:w="1544" w:type="dxa"/>
          </w:tcPr>
          <w:p w14:paraId="1156AEF9" w14:textId="77777777" w:rsidR="00F95D53" w:rsidRDefault="00F95D53" w:rsidP="001A28CA">
            <w:pPr>
              <w:rPr>
                <w:b/>
                <w:sz w:val="20"/>
              </w:rPr>
            </w:pPr>
          </w:p>
        </w:tc>
      </w:tr>
      <w:tr w:rsidR="00F95D53" w14:paraId="001A57FB" w14:textId="77777777" w:rsidTr="00D178E7">
        <w:tc>
          <w:tcPr>
            <w:tcW w:w="6480" w:type="dxa"/>
            <w:vAlign w:val="center"/>
          </w:tcPr>
          <w:p w14:paraId="107B2B20" w14:textId="0EE04801" w:rsidR="00F95D53" w:rsidRPr="001A28CA" w:rsidRDefault="00F95D53" w:rsidP="00F95D53">
            <w:pPr>
              <w:pStyle w:val="ListParagraph"/>
              <w:numPr>
                <w:ilvl w:val="0"/>
                <w:numId w:val="5"/>
              </w:numPr>
              <w:spacing w:after="160" w:line="259" w:lineRule="auto"/>
            </w:pPr>
            <w:r>
              <w:t>Influenza (yearly)</w:t>
            </w:r>
          </w:p>
        </w:tc>
        <w:tc>
          <w:tcPr>
            <w:tcW w:w="1620" w:type="dxa"/>
          </w:tcPr>
          <w:p w14:paraId="60321F00" w14:textId="77777777" w:rsidR="00F95D53" w:rsidRPr="0063785C" w:rsidRDefault="00F95D53" w:rsidP="00991FBF">
            <w:pPr>
              <w:pStyle w:val="ListParagraph"/>
              <w:rPr>
                <w:b/>
                <w:sz w:val="40"/>
              </w:rPr>
            </w:pPr>
          </w:p>
        </w:tc>
        <w:tc>
          <w:tcPr>
            <w:tcW w:w="1544" w:type="dxa"/>
          </w:tcPr>
          <w:p w14:paraId="7DDC1B90" w14:textId="77777777" w:rsidR="00F95D53" w:rsidRDefault="00F95D53" w:rsidP="001A28CA">
            <w:pPr>
              <w:rPr>
                <w:b/>
                <w:sz w:val="20"/>
              </w:rPr>
            </w:pPr>
          </w:p>
        </w:tc>
      </w:tr>
      <w:tr w:rsidR="00F95D53" w14:paraId="18C90AE7" w14:textId="77777777" w:rsidTr="00D178E7">
        <w:tc>
          <w:tcPr>
            <w:tcW w:w="6480" w:type="dxa"/>
            <w:vAlign w:val="center"/>
          </w:tcPr>
          <w:p w14:paraId="7E241D42" w14:textId="2107D7AB" w:rsidR="00F95D53" w:rsidRDefault="00F95D53" w:rsidP="00F95D53">
            <w:pPr>
              <w:pStyle w:val="ListParagraph"/>
              <w:numPr>
                <w:ilvl w:val="0"/>
                <w:numId w:val="5"/>
              </w:numPr>
            </w:pPr>
            <w:r>
              <w:rPr>
                <w:szCs w:val="24"/>
              </w:rPr>
              <w:t>Proof of COVID-19 Vaccination</w:t>
            </w:r>
            <w:r w:rsidR="0022441A">
              <w:rPr>
                <w:szCs w:val="24"/>
              </w:rPr>
              <w:t xml:space="preserve"> (3 doses)</w:t>
            </w:r>
          </w:p>
        </w:tc>
        <w:tc>
          <w:tcPr>
            <w:tcW w:w="1620" w:type="dxa"/>
          </w:tcPr>
          <w:p w14:paraId="4A83616A" w14:textId="77777777" w:rsidR="00F95D53" w:rsidRPr="0063785C" w:rsidRDefault="00F95D53" w:rsidP="00991FBF">
            <w:pPr>
              <w:pStyle w:val="ListParagraph"/>
              <w:rPr>
                <w:b/>
                <w:sz w:val="40"/>
              </w:rPr>
            </w:pPr>
          </w:p>
        </w:tc>
        <w:tc>
          <w:tcPr>
            <w:tcW w:w="1544" w:type="dxa"/>
          </w:tcPr>
          <w:p w14:paraId="2D3D03D7" w14:textId="77777777" w:rsidR="00F95D53" w:rsidRDefault="00F95D53" w:rsidP="001A28CA">
            <w:pPr>
              <w:rPr>
                <w:b/>
                <w:sz w:val="20"/>
              </w:rPr>
            </w:pPr>
          </w:p>
        </w:tc>
      </w:tr>
      <w:tr w:rsidR="003908EF" w14:paraId="17E12B65" w14:textId="77777777" w:rsidTr="00D178E7">
        <w:tc>
          <w:tcPr>
            <w:tcW w:w="6480" w:type="dxa"/>
            <w:vAlign w:val="center"/>
          </w:tcPr>
          <w:p w14:paraId="68925329" w14:textId="2A2DE92E" w:rsidR="003908EF" w:rsidRPr="003908EF" w:rsidRDefault="003908EF" w:rsidP="003908EF">
            <w:pPr>
              <w:rPr>
                <w:szCs w:val="24"/>
              </w:rPr>
            </w:pPr>
            <w:r>
              <w:rPr>
                <w:szCs w:val="24"/>
              </w:rPr>
              <w:t>Mandatory training</w:t>
            </w:r>
          </w:p>
        </w:tc>
        <w:tc>
          <w:tcPr>
            <w:tcW w:w="1620" w:type="dxa"/>
          </w:tcPr>
          <w:p w14:paraId="508D4C2C" w14:textId="77777777" w:rsidR="003908EF" w:rsidRPr="0063785C" w:rsidRDefault="003908EF" w:rsidP="00991FBF">
            <w:pPr>
              <w:pStyle w:val="ListParagraph"/>
              <w:rPr>
                <w:b/>
                <w:sz w:val="40"/>
              </w:rPr>
            </w:pPr>
          </w:p>
        </w:tc>
        <w:tc>
          <w:tcPr>
            <w:tcW w:w="1544" w:type="dxa"/>
          </w:tcPr>
          <w:p w14:paraId="57B00CA0" w14:textId="77777777" w:rsidR="003908EF" w:rsidRDefault="003908EF" w:rsidP="001A28CA">
            <w:pPr>
              <w:rPr>
                <w:b/>
                <w:sz w:val="20"/>
              </w:rPr>
            </w:pPr>
          </w:p>
        </w:tc>
      </w:tr>
      <w:tr w:rsidR="00D178E7" w14:paraId="33030091" w14:textId="77777777" w:rsidTr="00D178E7">
        <w:tc>
          <w:tcPr>
            <w:tcW w:w="6480" w:type="dxa"/>
            <w:vAlign w:val="center"/>
          </w:tcPr>
          <w:p w14:paraId="42292F47" w14:textId="480F49B5" w:rsidR="00D178E7" w:rsidRPr="00F95D53" w:rsidRDefault="00F95D53" w:rsidP="00F95D53">
            <w:pPr>
              <w:pStyle w:val="ListParagraph"/>
              <w:numPr>
                <w:ilvl w:val="0"/>
                <w:numId w:val="5"/>
              </w:numPr>
              <w:rPr>
                <w:szCs w:val="24"/>
              </w:rPr>
            </w:pPr>
            <w:r>
              <w:t>Hand Hygiene Online Learning Certificate (within 12 months)</w:t>
            </w:r>
          </w:p>
        </w:tc>
        <w:tc>
          <w:tcPr>
            <w:tcW w:w="1620" w:type="dxa"/>
          </w:tcPr>
          <w:p w14:paraId="41078970" w14:textId="19B807F4" w:rsidR="00D178E7" w:rsidRPr="0063785C" w:rsidRDefault="00D178E7" w:rsidP="00991FBF">
            <w:pPr>
              <w:pStyle w:val="ListParagraph"/>
              <w:rPr>
                <w:b/>
                <w:sz w:val="40"/>
              </w:rPr>
            </w:pPr>
          </w:p>
        </w:tc>
        <w:tc>
          <w:tcPr>
            <w:tcW w:w="1544" w:type="dxa"/>
          </w:tcPr>
          <w:p w14:paraId="593074F0" w14:textId="77777777" w:rsidR="00D178E7" w:rsidRDefault="00D178E7" w:rsidP="001A28CA">
            <w:pPr>
              <w:rPr>
                <w:b/>
                <w:sz w:val="20"/>
              </w:rPr>
            </w:pPr>
          </w:p>
        </w:tc>
      </w:tr>
      <w:tr w:rsidR="00026766" w14:paraId="65B12293" w14:textId="77777777" w:rsidTr="00D178E7">
        <w:tc>
          <w:tcPr>
            <w:tcW w:w="6480" w:type="dxa"/>
            <w:vAlign w:val="center"/>
          </w:tcPr>
          <w:p w14:paraId="6940FAD2" w14:textId="4B602018" w:rsidR="00026766" w:rsidRPr="00F95D53" w:rsidRDefault="00F95D53" w:rsidP="00F95D53">
            <w:pPr>
              <w:pStyle w:val="ListParagraph"/>
              <w:numPr>
                <w:ilvl w:val="0"/>
                <w:numId w:val="5"/>
              </w:numPr>
              <w:rPr>
                <w:szCs w:val="24"/>
              </w:rPr>
            </w:pPr>
            <w:r w:rsidRPr="00F95D53">
              <w:rPr>
                <w:szCs w:val="24"/>
              </w:rPr>
              <w:t>Basic training in correct use (i.e. donning and doffing) of Personal Protective Equipment (PPE)</w:t>
            </w:r>
            <w:r>
              <w:rPr>
                <w:szCs w:val="24"/>
              </w:rPr>
              <w:t xml:space="preserve"> (within 12 months)</w:t>
            </w:r>
          </w:p>
        </w:tc>
        <w:tc>
          <w:tcPr>
            <w:tcW w:w="1620" w:type="dxa"/>
          </w:tcPr>
          <w:p w14:paraId="7CE348B1" w14:textId="77777777" w:rsidR="00026766" w:rsidRPr="004F0619" w:rsidRDefault="00026766" w:rsidP="001A28CA">
            <w:pPr>
              <w:jc w:val="center"/>
              <w:rPr>
                <w:b/>
                <w:sz w:val="40"/>
              </w:rPr>
            </w:pPr>
          </w:p>
        </w:tc>
        <w:tc>
          <w:tcPr>
            <w:tcW w:w="1544" w:type="dxa"/>
          </w:tcPr>
          <w:p w14:paraId="3668988D" w14:textId="77777777" w:rsidR="00026766" w:rsidRDefault="00026766" w:rsidP="001A28CA">
            <w:pPr>
              <w:rPr>
                <w:b/>
                <w:sz w:val="20"/>
              </w:rPr>
            </w:pPr>
          </w:p>
        </w:tc>
      </w:tr>
      <w:tr w:rsidR="00867D64" w14:paraId="54165396" w14:textId="77777777" w:rsidTr="00D178E7">
        <w:tc>
          <w:tcPr>
            <w:tcW w:w="6480" w:type="dxa"/>
            <w:vAlign w:val="center"/>
          </w:tcPr>
          <w:p w14:paraId="3198DAA7" w14:textId="1643D6B8" w:rsidR="00867D64" w:rsidRDefault="00F95D53" w:rsidP="00F95D53">
            <w:pPr>
              <w:pStyle w:val="ListParagraph"/>
              <w:numPr>
                <w:ilvl w:val="0"/>
                <w:numId w:val="5"/>
              </w:numPr>
            </w:pPr>
            <w:r w:rsidRPr="00B15C2E">
              <w:rPr>
                <w:rFonts w:cs="Arial"/>
              </w:rPr>
              <w:t xml:space="preserve">Training in </w:t>
            </w:r>
            <w:r w:rsidRPr="00B15C2E">
              <w:rPr>
                <w:rFonts w:cs="Arial"/>
                <w:b/>
              </w:rPr>
              <w:t>Basic Life Support</w:t>
            </w:r>
            <w:r w:rsidRPr="00B15C2E">
              <w:rPr>
                <w:rFonts w:cs="Arial"/>
              </w:rPr>
              <w:t xml:space="preserve"> from a nationally accredited agency</w:t>
            </w:r>
          </w:p>
        </w:tc>
        <w:tc>
          <w:tcPr>
            <w:tcW w:w="1620" w:type="dxa"/>
          </w:tcPr>
          <w:p w14:paraId="5009162E" w14:textId="77777777" w:rsidR="00867D64" w:rsidRPr="004F0619" w:rsidRDefault="00867D64" w:rsidP="001A28CA">
            <w:pPr>
              <w:jc w:val="center"/>
              <w:rPr>
                <w:b/>
                <w:sz w:val="40"/>
              </w:rPr>
            </w:pPr>
          </w:p>
        </w:tc>
        <w:tc>
          <w:tcPr>
            <w:tcW w:w="1544" w:type="dxa"/>
          </w:tcPr>
          <w:p w14:paraId="07A4B091" w14:textId="77777777" w:rsidR="00867D64" w:rsidRDefault="00867D64" w:rsidP="001A28CA">
            <w:pPr>
              <w:rPr>
                <w:b/>
                <w:sz w:val="20"/>
              </w:rPr>
            </w:pPr>
          </w:p>
        </w:tc>
      </w:tr>
      <w:tr w:rsidR="00867D64" w14:paraId="468E5445" w14:textId="77777777" w:rsidTr="00D178E7">
        <w:tc>
          <w:tcPr>
            <w:tcW w:w="6480" w:type="dxa"/>
            <w:vAlign w:val="center"/>
          </w:tcPr>
          <w:p w14:paraId="64671491" w14:textId="17B444FF" w:rsidR="00867D64" w:rsidRDefault="00F95D53" w:rsidP="00F95D53">
            <w:pPr>
              <w:pStyle w:val="ListParagraph"/>
              <w:numPr>
                <w:ilvl w:val="0"/>
                <w:numId w:val="5"/>
              </w:numPr>
            </w:pPr>
            <w:r w:rsidRPr="00B15C2E">
              <w:rPr>
                <w:rFonts w:cs="Arial"/>
              </w:rPr>
              <w:t>Training in</w:t>
            </w:r>
            <w:r w:rsidRPr="00B15C2E">
              <w:rPr>
                <w:rFonts w:cs="Arial"/>
                <w:b/>
              </w:rPr>
              <w:t xml:space="preserve"> Manual Handling (Manutention</w:t>
            </w:r>
            <w:r w:rsidRPr="00B15C2E">
              <w:rPr>
                <w:rFonts w:cs="Arial"/>
              </w:rPr>
              <w:t xml:space="preserve">) for Health Professionals from a nationally </w:t>
            </w:r>
            <w:proofErr w:type="spellStart"/>
            <w:r w:rsidRPr="00B15C2E">
              <w:rPr>
                <w:rFonts w:cs="Arial"/>
              </w:rPr>
              <w:t>recognised</w:t>
            </w:r>
            <w:proofErr w:type="spellEnd"/>
            <w:r w:rsidRPr="00B15C2E">
              <w:rPr>
                <w:rFonts w:cs="Arial"/>
              </w:rPr>
              <w:t xml:space="preserve"> Manual Handling agency</w:t>
            </w:r>
          </w:p>
        </w:tc>
        <w:tc>
          <w:tcPr>
            <w:tcW w:w="1620" w:type="dxa"/>
          </w:tcPr>
          <w:p w14:paraId="618CE0E8" w14:textId="77777777" w:rsidR="00867D64" w:rsidRPr="004F0619" w:rsidRDefault="00867D64" w:rsidP="001A28CA">
            <w:pPr>
              <w:jc w:val="center"/>
              <w:rPr>
                <w:b/>
                <w:sz w:val="40"/>
              </w:rPr>
            </w:pPr>
          </w:p>
        </w:tc>
        <w:tc>
          <w:tcPr>
            <w:tcW w:w="1544" w:type="dxa"/>
          </w:tcPr>
          <w:p w14:paraId="749D0323" w14:textId="77777777" w:rsidR="00867D64" w:rsidRDefault="00867D64" w:rsidP="001A28CA">
            <w:pPr>
              <w:rPr>
                <w:b/>
                <w:sz w:val="20"/>
              </w:rPr>
            </w:pPr>
          </w:p>
        </w:tc>
      </w:tr>
    </w:tbl>
    <w:p w14:paraId="25C93973" w14:textId="77777777" w:rsidR="00F95D53" w:rsidRDefault="00F95D53" w:rsidP="000C74F3">
      <w:pPr>
        <w:jc w:val="center"/>
        <w:rPr>
          <w:b/>
        </w:rPr>
      </w:pPr>
    </w:p>
    <w:p w14:paraId="144D925E" w14:textId="77777777" w:rsidR="00F95D53" w:rsidRPr="00E367B9" w:rsidRDefault="00F95D53" w:rsidP="00F95D53">
      <w:pPr>
        <w:pStyle w:val="Heading1"/>
      </w:pPr>
      <w:r>
        <w:lastRenderedPageBreak/>
        <w:t xml:space="preserve">Clinical Placement Information </w:t>
      </w:r>
    </w:p>
    <w:p w14:paraId="7EF4C9E1" w14:textId="77777777" w:rsidR="00F95D53" w:rsidRPr="00E367B9" w:rsidRDefault="00F95D53" w:rsidP="00F95D53">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0FF1C39D"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48EA0FB6"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5669A35D"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2DAD165B" w14:textId="77777777" w:rsidR="00F95D53" w:rsidRPr="00E367B9" w:rsidRDefault="00F95D53" w:rsidP="00F95D53">
      <w:pPr>
        <w:numPr>
          <w:ilvl w:val="0"/>
          <w:numId w:val="6"/>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643F664A" w14:textId="77777777" w:rsidR="00F95D53" w:rsidRPr="00E367B9" w:rsidRDefault="00F95D53" w:rsidP="00F95D53">
      <w:pPr>
        <w:numPr>
          <w:ilvl w:val="0"/>
          <w:numId w:val="6"/>
        </w:numPr>
        <w:spacing w:after="0" w:line="240" w:lineRule="auto"/>
        <w:rPr>
          <w:rFonts w:cstheme="minorHAnsi"/>
        </w:rPr>
      </w:pPr>
      <w:r w:rsidRPr="00E367B9">
        <w:rPr>
          <w:rFonts w:cstheme="minorHAnsi"/>
        </w:rPr>
        <w:t>It is reviewed by ACN to ensure it meets the requirements. If it does not, it will be sent back to you to amend.</w:t>
      </w:r>
    </w:p>
    <w:p w14:paraId="6F441ECA" w14:textId="77777777" w:rsidR="00F95D53" w:rsidRPr="00E367B9" w:rsidRDefault="00F95D53" w:rsidP="00F95D53">
      <w:pPr>
        <w:numPr>
          <w:ilvl w:val="0"/>
          <w:numId w:val="6"/>
        </w:numPr>
        <w:spacing w:after="0" w:line="240" w:lineRule="auto"/>
        <w:rPr>
          <w:rFonts w:cstheme="minorHAnsi"/>
        </w:rPr>
      </w:pPr>
      <w:r w:rsidRPr="00E367B9">
        <w:rPr>
          <w:rFonts w:cstheme="minorHAnsi"/>
        </w:rPr>
        <w:t xml:space="preserve">When correct, it is sent by ACN to your local health district for review and approval. </w:t>
      </w:r>
    </w:p>
    <w:p w14:paraId="235E1988" w14:textId="77777777" w:rsidR="00F95D53" w:rsidRPr="00E367B9" w:rsidRDefault="00F95D53" w:rsidP="00F95D53">
      <w:pPr>
        <w:numPr>
          <w:ilvl w:val="0"/>
          <w:numId w:val="6"/>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6C062A7B"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439893BD"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xml:space="preserve">Please note: Additional forms may be required pending to a placement provider request. </w:t>
      </w:r>
    </w:p>
    <w:p w14:paraId="4F689898"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AB2DE60"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3B09FCF1"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09396AF8"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7AC94F28"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17EEB209"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3B30CA87"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59D66CEA"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121D3EFA" w14:textId="77777777" w:rsidR="00F95D53" w:rsidRPr="00E367B9" w:rsidRDefault="00F95D53" w:rsidP="00F95D53">
      <w:pPr>
        <w:pStyle w:val="NormalWeb"/>
        <w:numPr>
          <w:ilvl w:val="0"/>
          <w:numId w:val="7"/>
        </w:numPr>
        <w:spacing w:before="0" w:beforeAutospacing="0" w:after="0" w:afterAutospacing="0"/>
        <w:rPr>
          <w:rFonts w:asciiTheme="minorHAnsi" w:hAnsiTheme="minorHAnsi" w:cstheme="minorHAnsi"/>
          <w:sz w:val="22"/>
          <w:szCs w:val="22"/>
          <w:shd w:val="clear" w:color="auto" w:fill="FFFFFF"/>
        </w:rPr>
      </w:pPr>
      <w:bookmarkStart w:id="0"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0"/>
      <w:r w:rsidRPr="00E367B9">
        <w:rPr>
          <w:rFonts w:asciiTheme="minorHAnsi" w:hAnsiTheme="minorHAnsi" w:cstheme="minorHAnsi"/>
          <w:sz w:val="22"/>
          <w:szCs w:val="22"/>
          <w:shd w:val="clear" w:color="auto" w:fill="FFFFFF"/>
        </w:rPr>
        <w:t>For example: Jane Smith 123456 Compliance Pack</w:t>
      </w:r>
    </w:p>
    <w:p w14:paraId="0705BADD" w14:textId="77777777" w:rsidR="00F95D53" w:rsidRPr="00E367B9" w:rsidRDefault="00F95D53" w:rsidP="00F95D53">
      <w:pPr>
        <w:pStyle w:val="NormalWeb"/>
        <w:numPr>
          <w:ilvl w:val="0"/>
          <w:numId w:val="7"/>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01DE730D" w14:textId="77777777" w:rsidR="00F95D53" w:rsidRPr="00E367B9" w:rsidRDefault="00F95D53" w:rsidP="00F95D53">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4DF06721" w14:textId="77777777" w:rsidR="00F95D53" w:rsidRDefault="00FF2FCB" w:rsidP="00F95D53">
      <w:pPr>
        <w:pStyle w:val="NormalWeb"/>
        <w:spacing w:before="0" w:beforeAutospacing="0" w:after="0" w:afterAutospacing="0"/>
        <w:rPr>
          <w:rFonts w:asciiTheme="minorHAnsi" w:hAnsiTheme="minorHAnsi" w:cstheme="minorHAnsi"/>
          <w:sz w:val="22"/>
          <w:szCs w:val="22"/>
        </w:rPr>
      </w:pPr>
      <w:hyperlink r:id="rId7" w:history="1">
        <w:r w:rsidR="00F95D53" w:rsidRPr="00B6685F">
          <w:rPr>
            <w:rStyle w:val="Hyperlink"/>
            <w:rFonts w:asciiTheme="minorHAnsi" w:hAnsiTheme="minorHAnsi" w:cstheme="minorHAnsi"/>
            <w:sz w:val="22"/>
            <w:szCs w:val="22"/>
          </w:rPr>
          <w:t>https://jpg2pdf.com/</w:t>
        </w:r>
      </w:hyperlink>
      <w:r w:rsidR="00F95D53">
        <w:rPr>
          <w:rFonts w:asciiTheme="minorHAnsi" w:hAnsiTheme="minorHAnsi" w:cstheme="minorHAnsi"/>
          <w:sz w:val="22"/>
          <w:szCs w:val="22"/>
        </w:rPr>
        <w:t xml:space="preserve"> </w:t>
      </w:r>
    </w:p>
    <w:p w14:paraId="279182A4" w14:textId="77777777" w:rsidR="00F95D53" w:rsidRDefault="00F95D53" w:rsidP="00F95D53">
      <w:pPr>
        <w:rPr>
          <w:b/>
        </w:rPr>
      </w:pPr>
    </w:p>
    <w:p w14:paraId="45F6324D" w14:textId="2E5DD754" w:rsidR="00F95D53" w:rsidRDefault="00F95D53" w:rsidP="00F95D53">
      <w:pPr>
        <w:pStyle w:val="Heading2"/>
      </w:pPr>
      <w:r>
        <w:t xml:space="preserve">Required </w:t>
      </w:r>
      <w:proofErr w:type="gramStart"/>
      <w:r>
        <w:t>documents</w:t>
      </w:r>
      <w:proofErr w:type="gramEnd"/>
    </w:p>
    <w:p w14:paraId="7E5E70C4" w14:textId="77777777" w:rsidR="00F95D53" w:rsidRDefault="00F95D53" w:rsidP="00F95D53">
      <w:pPr>
        <w:pStyle w:val="NormalWeb"/>
        <w:numPr>
          <w:ilvl w:val="0"/>
          <w:numId w:val="8"/>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Headshot photo or ACN student ID card (if available)</w:t>
      </w:r>
    </w:p>
    <w:p w14:paraId="0819078B" w14:textId="77777777" w:rsidR="00F95D53" w:rsidRDefault="00F95D53" w:rsidP="00F95D5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Please bring this with you when on placement. </w:t>
      </w:r>
    </w:p>
    <w:p w14:paraId="4343082F" w14:textId="77777777" w:rsidR="00F95D53" w:rsidRDefault="00F95D53" w:rsidP="00F95D53">
      <w:pPr>
        <w:pStyle w:val="NormalWeb"/>
        <w:spacing w:before="0" w:beforeAutospacing="0" w:after="0" w:afterAutospacing="0"/>
        <w:rPr>
          <w:rFonts w:asciiTheme="minorHAnsi" w:hAnsiTheme="minorHAnsi" w:cstheme="minorHAnsi"/>
          <w:sz w:val="22"/>
          <w:szCs w:val="22"/>
        </w:rPr>
      </w:pPr>
    </w:p>
    <w:p w14:paraId="502D8D14" w14:textId="07E57164" w:rsidR="00F95D53" w:rsidRPr="00F95D53" w:rsidRDefault="00F95D53" w:rsidP="00D9573A">
      <w:pPr>
        <w:pStyle w:val="ListParagraph"/>
        <w:numPr>
          <w:ilvl w:val="0"/>
          <w:numId w:val="8"/>
        </w:numPr>
        <w:spacing w:after="0"/>
      </w:pPr>
      <w:r w:rsidRPr="00F95D53">
        <w:rPr>
          <w:rFonts w:cstheme="minorHAnsi"/>
        </w:rPr>
        <w:t>National Police Check</w:t>
      </w:r>
    </w:p>
    <w:p w14:paraId="7B99E41A" w14:textId="2CE30E26" w:rsidR="00F74AD0" w:rsidRDefault="00F74AD0" w:rsidP="00F74AD0">
      <w:pPr>
        <w:spacing w:after="0" w:line="240" w:lineRule="auto"/>
      </w:pPr>
      <w:r>
        <w:t>All students will need to obtain a clear National Police Certificate</w:t>
      </w:r>
      <w:r>
        <w:rPr>
          <w:rFonts w:cs="Arial"/>
        </w:rPr>
        <w:t xml:space="preserve"> d</w:t>
      </w:r>
      <w:r w:rsidR="00F95D53" w:rsidRPr="00F95D53">
        <w:rPr>
          <w:rFonts w:cs="Arial"/>
        </w:rPr>
        <w:t xml:space="preserve">ated within 12 months </w:t>
      </w:r>
      <w:r w:rsidR="00F95D53">
        <w:rPr>
          <w:rFonts w:cs="Arial"/>
        </w:rPr>
        <w:t>before</w:t>
      </w:r>
      <w:r w:rsidR="00F95D53" w:rsidRPr="00F95D53">
        <w:rPr>
          <w:rFonts w:cs="Arial"/>
        </w:rPr>
        <w:t xml:space="preserve"> the commencement of the CP program.</w:t>
      </w:r>
      <w:r>
        <w:t xml:space="preserve"> Applications can be made online (https://www.police.wa.gov.au/Police-Direct/National-Police-Certificates) or in person at participating Australia Post Outlets. Steps required:</w:t>
      </w:r>
    </w:p>
    <w:p w14:paraId="35A5DB8A" w14:textId="60DC3D2E" w:rsidR="00F74AD0" w:rsidRDefault="00F74AD0" w:rsidP="00F74AD0">
      <w:pPr>
        <w:pStyle w:val="ListParagraph"/>
        <w:numPr>
          <w:ilvl w:val="0"/>
          <w:numId w:val="14"/>
        </w:numPr>
        <w:spacing w:after="0" w:line="240" w:lineRule="auto"/>
      </w:pPr>
      <w:r>
        <w:t xml:space="preserve">Complete a National Police Certificate application form online or in person at Australia Post. </w:t>
      </w:r>
    </w:p>
    <w:p w14:paraId="7646F85D" w14:textId="70D6E140" w:rsidR="00F74AD0" w:rsidRDefault="00F74AD0" w:rsidP="00F74AD0">
      <w:pPr>
        <w:pStyle w:val="ListParagraph"/>
        <w:numPr>
          <w:ilvl w:val="0"/>
          <w:numId w:val="14"/>
        </w:numPr>
        <w:spacing w:after="0" w:line="240" w:lineRule="auto"/>
      </w:pPr>
      <w:r>
        <w:t xml:space="preserve">Submit a copy of the certificate to </w:t>
      </w:r>
      <w:proofErr w:type="gramStart"/>
      <w:r>
        <w:t>ACN</w:t>
      </w:r>
      <w:proofErr w:type="gramEnd"/>
      <w:r>
        <w:t xml:space="preserve"> </w:t>
      </w:r>
    </w:p>
    <w:p w14:paraId="293E2D90" w14:textId="75CDE13E" w:rsidR="00F74AD0" w:rsidRDefault="00F74AD0" w:rsidP="00F74AD0">
      <w:pPr>
        <w:spacing w:after="0" w:line="240" w:lineRule="auto"/>
      </w:pPr>
      <w:r>
        <w:t xml:space="preserve">Important notes </w:t>
      </w:r>
    </w:p>
    <w:p w14:paraId="752D2B99" w14:textId="09F6DBF9" w:rsidR="00F95D53" w:rsidRPr="00F74AD0" w:rsidRDefault="00F74AD0" w:rsidP="00F74AD0">
      <w:pPr>
        <w:spacing w:after="0" w:line="240" w:lineRule="auto"/>
      </w:pPr>
      <w:r>
        <w:t xml:space="preserve">Certificates not issued by WA Police are accepted provided it has been issued by an </w:t>
      </w:r>
      <w:proofErr w:type="spellStart"/>
      <w:r>
        <w:t>organisation</w:t>
      </w:r>
      <w:proofErr w:type="spellEnd"/>
      <w:r>
        <w:t xml:space="preserve"> accredited by the Australian Criminal Intelligence Commission (see list of accredited bodies servicing the public at https://www.acic.gov.au/our-services/national-police-checking-service/find-out-moreinformation/accredited-bodies).</w:t>
      </w:r>
    </w:p>
    <w:p w14:paraId="1E5CE9FF" w14:textId="77777777" w:rsidR="00F95D53" w:rsidRDefault="00F95D53" w:rsidP="00F95D53">
      <w:pPr>
        <w:spacing w:after="0" w:line="240" w:lineRule="auto"/>
        <w:rPr>
          <w:rFonts w:cs="Arial"/>
        </w:rPr>
      </w:pPr>
    </w:p>
    <w:p w14:paraId="7792D33F" w14:textId="77777777" w:rsidR="00F95D53" w:rsidRPr="00F95D53" w:rsidRDefault="00F95D53" w:rsidP="002B208B">
      <w:pPr>
        <w:pStyle w:val="ListParagraph"/>
        <w:numPr>
          <w:ilvl w:val="0"/>
          <w:numId w:val="8"/>
        </w:numPr>
        <w:spacing w:after="0"/>
        <w:rPr>
          <w:rFonts w:cstheme="minorHAnsi"/>
        </w:rPr>
      </w:pPr>
      <w:r w:rsidRPr="00F95D53">
        <w:rPr>
          <w:rFonts w:cstheme="minorHAnsi"/>
        </w:rPr>
        <w:t>Current Working with Children Card</w:t>
      </w:r>
    </w:p>
    <w:p w14:paraId="49243C57" w14:textId="51F82487" w:rsidR="00F95D53" w:rsidRDefault="00F95D53" w:rsidP="002B208B">
      <w:pPr>
        <w:autoSpaceDE w:val="0"/>
        <w:autoSpaceDN w:val="0"/>
        <w:adjustRightInd w:val="0"/>
        <w:spacing w:after="0" w:line="240" w:lineRule="auto"/>
        <w:rPr>
          <w:rStyle w:val="Hyperlink"/>
          <w:rFonts w:cs="Arial"/>
          <w:color w:val="auto"/>
        </w:rPr>
      </w:pPr>
      <w:r>
        <w:rPr>
          <w:rFonts w:cs="Arial"/>
        </w:rPr>
        <w:t>D</w:t>
      </w:r>
      <w:r w:rsidRPr="00F95D53">
        <w:rPr>
          <w:rFonts w:cs="Arial"/>
        </w:rPr>
        <w:t xml:space="preserve">emonstrating compliance with Working with Children Legislation. More information available: </w:t>
      </w:r>
      <w:hyperlink r:id="rId8" w:history="1">
        <w:r w:rsidRPr="00F95D53">
          <w:rPr>
            <w:rStyle w:val="Hyperlink"/>
            <w:rFonts w:cs="Arial"/>
          </w:rPr>
          <w:t>https://workingwithchildren.wa.gov.au/</w:t>
        </w:r>
      </w:hyperlink>
    </w:p>
    <w:p w14:paraId="5CE8F9BB" w14:textId="77777777" w:rsidR="00BD76DB" w:rsidRDefault="00BD76DB" w:rsidP="00F95D53">
      <w:pPr>
        <w:autoSpaceDE w:val="0"/>
        <w:autoSpaceDN w:val="0"/>
        <w:adjustRightInd w:val="0"/>
        <w:spacing w:after="0" w:line="240" w:lineRule="auto"/>
        <w:ind w:left="360"/>
        <w:jc w:val="both"/>
        <w:rPr>
          <w:rStyle w:val="Hyperlink"/>
          <w:rFonts w:cs="Arial"/>
          <w:color w:val="auto"/>
        </w:rPr>
      </w:pPr>
    </w:p>
    <w:p w14:paraId="453CB1D3" w14:textId="3B863CDA" w:rsidR="00BD76DB" w:rsidRDefault="00BD76DB" w:rsidP="00BD76DB">
      <w:pPr>
        <w:pStyle w:val="ListParagraph"/>
        <w:numPr>
          <w:ilvl w:val="0"/>
          <w:numId w:val="8"/>
        </w:numPr>
        <w:autoSpaceDE w:val="0"/>
        <w:autoSpaceDN w:val="0"/>
        <w:adjustRightInd w:val="0"/>
        <w:spacing w:after="0" w:line="240" w:lineRule="auto"/>
        <w:jc w:val="both"/>
        <w:rPr>
          <w:rStyle w:val="Hyperlink"/>
          <w:rFonts w:cs="Arial"/>
          <w:color w:val="auto"/>
          <w:u w:val="none"/>
        </w:rPr>
      </w:pPr>
      <w:r w:rsidRPr="00BD76DB">
        <w:rPr>
          <w:rStyle w:val="Hyperlink"/>
          <w:rFonts w:cs="Arial"/>
          <w:color w:val="auto"/>
          <w:u w:val="none"/>
        </w:rPr>
        <w:t xml:space="preserve">Mask fit </w:t>
      </w:r>
      <w:proofErr w:type="gramStart"/>
      <w:r w:rsidRPr="00BD76DB">
        <w:rPr>
          <w:rStyle w:val="Hyperlink"/>
          <w:rFonts w:cs="Arial"/>
          <w:color w:val="auto"/>
          <w:u w:val="none"/>
        </w:rPr>
        <w:t>test</w:t>
      </w:r>
      <w:proofErr w:type="gramEnd"/>
    </w:p>
    <w:p w14:paraId="628BB838" w14:textId="17DE9843" w:rsidR="00BD76DB" w:rsidRDefault="00AE3F26" w:rsidP="00AE3F26">
      <w:pPr>
        <w:autoSpaceDE w:val="0"/>
        <w:autoSpaceDN w:val="0"/>
        <w:adjustRightInd w:val="0"/>
        <w:spacing w:after="0" w:line="240" w:lineRule="auto"/>
        <w:jc w:val="both"/>
        <w:rPr>
          <w:rStyle w:val="Hyperlink"/>
          <w:rFonts w:cs="Arial"/>
          <w:color w:val="auto"/>
          <w:u w:val="none"/>
        </w:rPr>
      </w:pPr>
      <w:r>
        <w:rPr>
          <w:rStyle w:val="Hyperlink"/>
          <w:rFonts w:cs="Arial"/>
          <w:color w:val="auto"/>
          <w:u w:val="none"/>
        </w:rPr>
        <w:t>All students undergoing placement will need a mask fit testing. List of recommended providers are provided below:</w:t>
      </w:r>
    </w:p>
    <w:p w14:paraId="6FFEABA8" w14:textId="77777777" w:rsidR="00AE3F26" w:rsidRPr="00AE3F26" w:rsidRDefault="00AE3F26" w:rsidP="00AE3F26">
      <w:pPr>
        <w:pStyle w:val="ListParagraph"/>
        <w:numPr>
          <w:ilvl w:val="0"/>
          <w:numId w:val="18"/>
        </w:numPr>
        <w:autoSpaceDE w:val="0"/>
        <w:autoSpaceDN w:val="0"/>
        <w:adjustRightInd w:val="0"/>
        <w:spacing w:after="0" w:line="240" w:lineRule="auto"/>
        <w:jc w:val="both"/>
        <w:rPr>
          <w:rStyle w:val="Hyperlink"/>
          <w:rFonts w:cs="Arial"/>
          <w:color w:val="auto"/>
          <w:u w:val="none"/>
        </w:rPr>
      </w:pPr>
      <w:r w:rsidRPr="00AE3F26">
        <w:rPr>
          <w:rStyle w:val="Hyperlink"/>
          <w:rFonts w:cs="Arial"/>
          <w:color w:val="auto"/>
          <w:u w:val="none"/>
        </w:rPr>
        <w:t>REDOHMS Group https://redohmsgroup.com.au Mask Fit Testing</w:t>
      </w:r>
    </w:p>
    <w:p w14:paraId="52FAD0BD" w14:textId="180C2CFE" w:rsidR="00AE3F26" w:rsidRDefault="00AE3F26" w:rsidP="00AE3F26">
      <w:pPr>
        <w:pStyle w:val="ListParagraph"/>
        <w:numPr>
          <w:ilvl w:val="0"/>
          <w:numId w:val="18"/>
        </w:numPr>
        <w:autoSpaceDE w:val="0"/>
        <w:autoSpaceDN w:val="0"/>
        <w:adjustRightInd w:val="0"/>
        <w:spacing w:after="0" w:line="240" w:lineRule="auto"/>
        <w:jc w:val="both"/>
        <w:rPr>
          <w:rStyle w:val="Hyperlink"/>
          <w:rFonts w:cs="Arial"/>
          <w:color w:val="auto"/>
          <w:u w:val="none"/>
        </w:rPr>
      </w:pPr>
      <w:r w:rsidRPr="00AE3F26">
        <w:rPr>
          <w:rStyle w:val="Hyperlink"/>
          <w:rFonts w:cs="Arial"/>
          <w:color w:val="auto"/>
          <w:u w:val="none"/>
        </w:rPr>
        <w:t>Resp-Fit https://respfit.org.au/find-a-fit-tester/#providers Mask Fit Testing</w:t>
      </w:r>
    </w:p>
    <w:p w14:paraId="37DBF752" w14:textId="420413E1" w:rsidR="00AE3F26" w:rsidRPr="00AE3F26" w:rsidRDefault="00AE3F26" w:rsidP="00AE3F26">
      <w:pPr>
        <w:pStyle w:val="ListParagraph"/>
        <w:numPr>
          <w:ilvl w:val="0"/>
          <w:numId w:val="18"/>
        </w:numPr>
        <w:autoSpaceDE w:val="0"/>
        <w:autoSpaceDN w:val="0"/>
        <w:adjustRightInd w:val="0"/>
        <w:spacing w:after="0" w:line="240" w:lineRule="auto"/>
        <w:jc w:val="both"/>
        <w:rPr>
          <w:rFonts w:cs="Arial"/>
        </w:rPr>
      </w:pPr>
      <w:r>
        <w:t>Compound Services Australia https://compoundservices.com.au/booking Mask Fit Testing</w:t>
      </w:r>
    </w:p>
    <w:p w14:paraId="1818C9A8" w14:textId="77777777" w:rsidR="00AE3F26" w:rsidRPr="00AE3F26" w:rsidRDefault="00AE3F26" w:rsidP="00AE3F26">
      <w:pPr>
        <w:autoSpaceDE w:val="0"/>
        <w:autoSpaceDN w:val="0"/>
        <w:adjustRightInd w:val="0"/>
        <w:spacing w:after="0" w:line="240" w:lineRule="auto"/>
        <w:ind w:left="360"/>
        <w:jc w:val="both"/>
        <w:rPr>
          <w:rStyle w:val="Hyperlink"/>
          <w:rFonts w:cs="Arial"/>
          <w:color w:val="auto"/>
          <w:u w:val="none"/>
        </w:rPr>
      </w:pPr>
    </w:p>
    <w:p w14:paraId="7BE1A6CF" w14:textId="0AB6AAE6" w:rsidR="00BD76DB" w:rsidRPr="00BD76DB" w:rsidRDefault="00BD76DB" w:rsidP="00BD76DB">
      <w:pPr>
        <w:pStyle w:val="ListParagraph"/>
        <w:numPr>
          <w:ilvl w:val="0"/>
          <w:numId w:val="8"/>
        </w:numPr>
        <w:autoSpaceDE w:val="0"/>
        <w:autoSpaceDN w:val="0"/>
        <w:adjustRightInd w:val="0"/>
        <w:spacing w:after="0" w:line="240" w:lineRule="auto"/>
        <w:jc w:val="both"/>
        <w:rPr>
          <w:rStyle w:val="Hyperlink"/>
          <w:rFonts w:cs="Arial"/>
          <w:color w:val="auto"/>
          <w:u w:val="none"/>
        </w:rPr>
      </w:pPr>
      <w:r w:rsidRPr="00BD76DB">
        <w:rPr>
          <w:rStyle w:val="Hyperlink"/>
          <w:rFonts w:cs="Arial"/>
          <w:color w:val="auto"/>
          <w:u w:val="none"/>
        </w:rPr>
        <w:t>Diphtheria</w:t>
      </w:r>
      <w:r w:rsidR="002B208B">
        <w:rPr>
          <w:rStyle w:val="Hyperlink"/>
          <w:rFonts w:cs="Arial"/>
          <w:color w:val="auto"/>
          <w:u w:val="none"/>
        </w:rPr>
        <w:t xml:space="preserve"> </w:t>
      </w:r>
      <w:r w:rsidRPr="00BD76DB">
        <w:rPr>
          <w:rStyle w:val="Hyperlink"/>
          <w:rFonts w:cs="Arial"/>
          <w:color w:val="auto"/>
          <w:u w:val="none"/>
        </w:rPr>
        <w:t>Tetanus</w:t>
      </w:r>
      <w:r w:rsidR="002B208B">
        <w:rPr>
          <w:rStyle w:val="Hyperlink"/>
          <w:rFonts w:cs="Arial"/>
          <w:color w:val="auto"/>
          <w:u w:val="none"/>
        </w:rPr>
        <w:t xml:space="preserve"> </w:t>
      </w:r>
      <w:r w:rsidRPr="00BD76DB">
        <w:rPr>
          <w:rStyle w:val="Hyperlink"/>
          <w:rFonts w:cs="Arial"/>
          <w:color w:val="auto"/>
          <w:u w:val="none"/>
        </w:rPr>
        <w:t xml:space="preserve">Pertussis (DTPA Vaccine) </w:t>
      </w:r>
    </w:p>
    <w:p w14:paraId="474FA2E0" w14:textId="723E70D8" w:rsidR="00BD76DB" w:rsidRDefault="004D4463" w:rsidP="00BD76DB">
      <w:pPr>
        <w:autoSpaceDE w:val="0"/>
        <w:autoSpaceDN w:val="0"/>
        <w:adjustRightInd w:val="0"/>
        <w:spacing w:after="0" w:line="240" w:lineRule="auto"/>
        <w:jc w:val="both"/>
      </w:pPr>
      <w:r>
        <w:t xml:space="preserve">All students must provide documentary evidence of up-to-date </w:t>
      </w:r>
      <w:proofErr w:type="spellStart"/>
      <w:r>
        <w:t>immunisation</w:t>
      </w:r>
      <w:proofErr w:type="spellEnd"/>
      <w:r>
        <w:t xml:space="preserve"> against pertussis (whooping cough). Immunity against this infection cannot be determined by blood testing. Immunity is assumed if at least one documented dose of vaccine has been received within the last 10 years. If not previously vaccinated, or if vaccination records are incomplete, vaccination will be necessary.</w:t>
      </w:r>
    </w:p>
    <w:p w14:paraId="64B3D80F" w14:textId="77777777" w:rsidR="004D4463" w:rsidRPr="00BD76DB" w:rsidRDefault="004D4463" w:rsidP="00BD76DB">
      <w:pPr>
        <w:autoSpaceDE w:val="0"/>
        <w:autoSpaceDN w:val="0"/>
        <w:adjustRightInd w:val="0"/>
        <w:spacing w:after="0" w:line="240" w:lineRule="auto"/>
        <w:jc w:val="both"/>
        <w:rPr>
          <w:rStyle w:val="Hyperlink"/>
          <w:rFonts w:cs="Arial"/>
          <w:color w:val="auto"/>
          <w:u w:val="none"/>
        </w:rPr>
      </w:pPr>
    </w:p>
    <w:p w14:paraId="1AC95A86" w14:textId="4B74551E" w:rsidR="00BD76DB" w:rsidRPr="00BD76DB" w:rsidRDefault="00BD76DB" w:rsidP="00BD76DB">
      <w:pPr>
        <w:pStyle w:val="ListParagraph"/>
        <w:numPr>
          <w:ilvl w:val="0"/>
          <w:numId w:val="8"/>
        </w:numPr>
        <w:autoSpaceDE w:val="0"/>
        <w:autoSpaceDN w:val="0"/>
        <w:adjustRightInd w:val="0"/>
        <w:spacing w:after="0" w:line="240" w:lineRule="auto"/>
        <w:jc w:val="both"/>
        <w:rPr>
          <w:rStyle w:val="Hyperlink"/>
          <w:rFonts w:cs="Arial"/>
          <w:color w:val="auto"/>
          <w:u w:val="none"/>
        </w:rPr>
      </w:pPr>
      <w:r w:rsidRPr="00BD76DB">
        <w:rPr>
          <w:rStyle w:val="Hyperlink"/>
          <w:rFonts w:cs="Arial"/>
          <w:color w:val="auto"/>
          <w:u w:val="none"/>
        </w:rPr>
        <w:t>Hepatitis B</w:t>
      </w:r>
    </w:p>
    <w:p w14:paraId="0B12E58B" w14:textId="77777777" w:rsidR="004D4463" w:rsidRPr="004D4463" w:rsidRDefault="004D4463" w:rsidP="004D4463">
      <w:pPr>
        <w:autoSpaceDE w:val="0"/>
        <w:autoSpaceDN w:val="0"/>
        <w:adjustRightInd w:val="0"/>
        <w:spacing w:after="0" w:line="240" w:lineRule="auto"/>
        <w:jc w:val="both"/>
        <w:rPr>
          <w:rStyle w:val="Hyperlink"/>
          <w:rFonts w:cs="Arial"/>
          <w:color w:val="auto"/>
          <w:u w:val="none"/>
        </w:rPr>
      </w:pPr>
      <w:r w:rsidRPr="004D4463">
        <w:rPr>
          <w:rStyle w:val="Hyperlink"/>
          <w:rFonts w:cs="Arial"/>
          <w:color w:val="auto"/>
          <w:u w:val="none"/>
        </w:rPr>
        <w:t>Evidence of immunity to hepatitis B virus (HBV) infection is required. Serological testing (a blood test)</w:t>
      </w:r>
    </w:p>
    <w:p w14:paraId="6EFCAE8E" w14:textId="77777777" w:rsidR="004D4463" w:rsidRPr="004D4463" w:rsidRDefault="004D4463" w:rsidP="004D4463">
      <w:pPr>
        <w:autoSpaceDE w:val="0"/>
        <w:autoSpaceDN w:val="0"/>
        <w:adjustRightInd w:val="0"/>
        <w:spacing w:after="0" w:line="240" w:lineRule="auto"/>
        <w:jc w:val="both"/>
        <w:rPr>
          <w:rStyle w:val="Hyperlink"/>
          <w:rFonts w:cs="Arial"/>
          <w:color w:val="auto"/>
          <w:u w:val="none"/>
        </w:rPr>
      </w:pPr>
      <w:r w:rsidRPr="004D4463">
        <w:rPr>
          <w:rStyle w:val="Hyperlink"/>
          <w:rFonts w:cs="Arial"/>
          <w:color w:val="auto"/>
          <w:u w:val="none"/>
        </w:rPr>
        <w:t>should be performed by a National Association of Testing Authorities (NATA) accredited laboratory. A</w:t>
      </w:r>
    </w:p>
    <w:p w14:paraId="0D5D1EA7" w14:textId="1449D70F" w:rsidR="004D4463" w:rsidRPr="004D4463" w:rsidRDefault="004D4463" w:rsidP="004D4463">
      <w:pPr>
        <w:autoSpaceDE w:val="0"/>
        <w:autoSpaceDN w:val="0"/>
        <w:adjustRightInd w:val="0"/>
        <w:spacing w:after="0" w:line="240" w:lineRule="auto"/>
        <w:jc w:val="both"/>
        <w:rPr>
          <w:rStyle w:val="Hyperlink"/>
          <w:rFonts w:cs="Arial"/>
          <w:color w:val="auto"/>
          <w:u w:val="none"/>
        </w:rPr>
      </w:pPr>
      <w:r w:rsidRPr="004D4463">
        <w:rPr>
          <w:rStyle w:val="Hyperlink"/>
          <w:rFonts w:cs="Arial"/>
          <w:color w:val="auto"/>
          <w:u w:val="none"/>
        </w:rPr>
        <w:t>hepatitis B surface antibody (</w:t>
      </w:r>
      <w:proofErr w:type="spellStart"/>
      <w:r w:rsidRPr="004D4463">
        <w:rPr>
          <w:rStyle w:val="Hyperlink"/>
          <w:rFonts w:cs="Arial"/>
          <w:color w:val="auto"/>
          <w:u w:val="none"/>
        </w:rPr>
        <w:t>HBsAb</w:t>
      </w:r>
      <w:proofErr w:type="spellEnd"/>
      <w:r w:rsidRPr="004D4463">
        <w:rPr>
          <w:rStyle w:val="Hyperlink"/>
          <w:rFonts w:cs="Arial"/>
          <w:color w:val="auto"/>
          <w:u w:val="none"/>
        </w:rPr>
        <w:t xml:space="preserve">) </w:t>
      </w:r>
      <w:proofErr w:type="spellStart"/>
      <w:r w:rsidRPr="004D4463">
        <w:rPr>
          <w:rStyle w:val="Hyperlink"/>
          <w:rFonts w:cs="Arial"/>
          <w:color w:val="auto"/>
          <w:u w:val="none"/>
        </w:rPr>
        <w:t>titre</w:t>
      </w:r>
      <w:proofErr w:type="spellEnd"/>
      <w:r w:rsidRPr="004D4463">
        <w:rPr>
          <w:rStyle w:val="Hyperlink"/>
          <w:rFonts w:cs="Arial"/>
          <w:color w:val="auto"/>
          <w:u w:val="none"/>
        </w:rPr>
        <w:t xml:space="preserve"> of ≥10 </w:t>
      </w:r>
      <w:proofErr w:type="spellStart"/>
      <w:r w:rsidRPr="004D4463">
        <w:rPr>
          <w:rStyle w:val="Hyperlink"/>
          <w:rFonts w:cs="Arial"/>
          <w:color w:val="auto"/>
          <w:u w:val="none"/>
        </w:rPr>
        <w:t>mIU</w:t>
      </w:r>
      <w:proofErr w:type="spellEnd"/>
      <w:r w:rsidRPr="004D4463">
        <w:rPr>
          <w:rStyle w:val="Hyperlink"/>
          <w:rFonts w:cs="Arial"/>
          <w:color w:val="auto"/>
          <w:u w:val="none"/>
        </w:rPr>
        <w:t>/mL is required.</w:t>
      </w:r>
      <w:r w:rsidR="002B208B">
        <w:rPr>
          <w:rStyle w:val="Hyperlink"/>
          <w:rFonts w:cs="Arial"/>
          <w:color w:val="auto"/>
          <w:u w:val="none"/>
        </w:rPr>
        <w:t xml:space="preserve"> </w:t>
      </w:r>
      <w:r w:rsidRPr="004D4463">
        <w:rPr>
          <w:rStyle w:val="Hyperlink"/>
          <w:rFonts w:cs="Arial"/>
          <w:color w:val="auto"/>
          <w:u w:val="none"/>
        </w:rPr>
        <w:t xml:space="preserve">If </w:t>
      </w:r>
      <w:proofErr w:type="spellStart"/>
      <w:r w:rsidRPr="004D4463">
        <w:rPr>
          <w:rStyle w:val="Hyperlink"/>
          <w:rFonts w:cs="Arial"/>
          <w:color w:val="auto"/>
          <w:u w:val="none"/>
        </w:rPr>
        <w:t>HBsAb</w:t>
      </w:r>
      <w:proofErr w:type="spellEnd"/>
      <w:r w:rsidRPr="004D4463">
        <w:rPr>
          <w:rStyle w:val="Hyperlink"/>
          <w:rFonts w:cs="Arial"/>
          <w:color w:val="auto"/>
          <w:u w:val="none"/>
        </w:rPr>
        <w:t xml:space="preserve"> </w:t>
      </w:r>
      <w:proofErr w:type="spellStart"/>
      <w:r w:rsidRPr="004D4463">
        <w:rPr>
          <w:rStyle w:val="Hyperlink"/>
          <w:rFonts w:cs="Arial"/>
          <w:color w:val="auto"/>
          <w:u w:val="none"/>
        </w:rPr>
        <w:t>titre</w:t>
      </w:r>
      <w:proofErr w:type="spellEnd"/>
      <w:r w:rsidRPr="004D4463">
        <w:rPr>
          <w:rStyle w:val="Hyperlink"/>
          <w:rFonts w:cs="Arial"/>
          <w:color w:val="auto"/>
          <w:u w:val="none"/>
        </w:rPr>
        <w:t xml:space="preserve"> is &lt;10 </w:t>
      </w:r>
      <w:proofErr w:type="spellStart"/>
      <w:r w:rsidRPr="004D4463">
        <w:rPr>
          <w:rStyle w:val="Hyperlink"/>
          <w:rFonts w:cs="Arial"/>
          <w:color w:val="auto"/>
          <w:u w:val="none"/>
        </w:rPr>
        <w:t>mIU</w:t>
      </w:r>
      <w:proofErr w:type="spellEnd"/>
      <w:r w:rsidRPr="004D4463">
        <w:rPr>
          <w:rStyle w:val="Hyperlink"/>
          <w:rFonts w:cs="Arial"/>
          <w:color w:val="auto"/>
          <w:u w:val="none"/>
        </w:rPr>
        <w:t xml:space="preserve">/mL and there is nil or incomplete documentation of prior vaccination, the </w:t>
      </w:r>
      <w:proofErr w:type="gramStart"/>
      <w:r w:rsidRPr="004D4463">
        <w:rPr>
          <w:rStyle w:val="Hyperlink"/>
          <w:rFonts w:cs="Arial"/>
          <w:color w:val="auto"/>
          <w:u w:val="none"/>
        </w:rPr>
        <w:t>student</w:t>
      </w:r>
      <w:proofErr w:type="gramEnd"/>
    </w:p>
    <w:p w14:paraId="06F3A101" w14:textId="486DB439" w:rsidR="00BD76DB" w:rsidRDefault="004D4463" w:rsidP="004D4463">
      <w:pPr>
        <w:autoSpaceDE w:val="0"/>
        <w:autoSpaceDN w:val="0"/>
        <w:adjustRightInd w:val="0"/>
        <w:spacing w:after="0" w:line="240" w:lineRule="auto"/>
        <w:jc w:val="both"/>
        <w:rPr>
          <w:rStyle w:val="Hyperlink"/>
          <w:rFonts w:cs="Arial"/>
          <w:color w:val="auto"/>
          <w:u w:val="none"/>
        </w:rPr>
      </w:pPr>
      <w:r w:rsidRPr="004D4463">
        <w:rPr>
          <w:rStyle w:val="Hyperlink"/>
          <w:rFonts w:cs="Arial"/>
          <w:color w:val="auto"/>
          <w:u w:val="none"/>
        </w:rPr>
        <w:t>requires completion of a hepatitis B vaccination course prior to undergoing repeat serological testing.</w:t>
      </w:r>
    </w:p>
    <w:p w14:paraId="4974759F" w14:textId="77777777" w:rsidR="004D4463" w:rsidRPr="00BD76DB" w:rsidRDefault="004D4463" w:rsidP="004D4463">
      <w:pPr>
        <w:autoSpaceDE w:val="0"/>
        <w:autoSpaceDN w:val="0"/>
        <w:adjustRightInd w:val="0"/>
        <w:spacing w:after="0" w:line="240" w:lineRule="auto"/>
        <w:jc w:val="both"/>
        <w:rPr>
          <w:rStyle w:val="Hyperlink"/>
          <w:rFonts w:cs="Arial"/>
          <w:color w:val="auto"/>
          <w:u w:val="none"/>
        </w:rPr>
      </w:pPr>
    </w:p>
    <w:p w14:paraId="39A27BF4" w14:textId="3708A967" w:rsidR="00BD76DB" w:rsidRPr="00BD76DB" w:rsidRDefault="00BD76DB" w:rsidP="00BD76DB">
      <w:pPr>
        <w:pStyle w:val="ListParagraph"/>
        <w:numPr>
          <w:ilvl w:val="0"/>
          <w:numId w:val="8"/>
        </w:numPr>
        <w:autoSpaceDE w:val="0"/>
        <w:autoSpaceDN w:val="0"/>
        <w:adjustRightInd w:val="0"/>
        <w:spacing w:after="0" w:line="240" w:lineRule="auto"/>
        <w:jc w:val="both"/>
        <w:rPr>
          <w:rStyle w:val="Hyperlink"/>
          <w:rFonts w:cs="Arial"/>
          <w:color w:val="auto"/>
          <w:u w:val="none"/>
        </w:rPr>
      </w:pPr>
      <w:r w:rsidRPr="00BD76DB">
        <w:rPr>
          <w:rStyle w:val="Hyperlink"/>
          <w:rFonts w:cs="Arial"/>
          <w:color w:val="auto"/>
          <w:u w:val="none"/>
        </w:rPr>
        <w:t>Measles, Mumps and Rubella</w:t>
      </w:r>
    </w:p>
    <w:p w14:paraId="09D8F63F" w14:textId="35A2DC4C" w:rsidR="004D4463" w:rsidRDefault="004D4463" w:rsidP="00BD76DB">
      <w:pPr>
        <w:autoSpaceDE w:val="0"/>
        <w:autoSpaceDN w:val="0"/>
        <w:adjustRightInd w:val="0"/>
        <w:spacing w:after="0" w:line="240" w:lineRule="auto"/>
        <w:jc w:val="both"/>
      </w:pPr>
      <w:r>
        <w:t xml:space="preserve">All students must provide evidence of immunity to measles, mumps, </w:t>
      </w:r>
      <w:proofErr w:type="gramStart"/>
      <w:r>
        <w:t>rubella</w:t>
      </w:r>
      <w:proofErr w:type="gramEnd"/>
      <w:r>
        <w:t xml:space="preserve"> and varicella, as referred to in </w:t>
      </w:r>
      <w:hyperlink r:id="rId9" w:history="1">
        <w:r w:rsidRPr="004D4463">
          <w:rPr>
            <w:rStyle w:val="Hyperlink"/>
          </w:rPr>
          <w:t>The Australian Immunisation Handbook 3.3.7</w:t>
        </w:r>
      </w:hyperlink>
      <w:r>
        <w:t xml:space="preserve">. </w:t>
      </w:r>
    </w:p>
    <w:p w14:paraId="0749924E" w14:textId="77777777" w:rsidR="004D4463" w:rsidRDefault="004D4463" w:rsidP="00BD76DB">
      <w:pPr>
        <w:autoSpaceDE w:val="0"/>
        <w:autoSpaceDN w:val="0"/>
        <w:adjustRightInd w:val="0"/>
        <w:spacing w:after="0" w:line="240" w:lineRule="auto"/>
        <w:jc w:val="both"/>
      </w:pPr>
      <w:r>
        <w:t xml:space="preserve">Acceptable evidence of immunity includes: </w:t>
      </w:r>
    </w:p>
    <w:p w14:paraId="492A9C60" w14:textId="77777777" w:rsidR="004D4463" w:rsidRPr="004D4463" w:rsidRDefault="004D4463" w:rsidP="004D4463">
      <w:pPr>
        <w:pStyle w:val="ListParagraph"/>
        <w:numPr>
          <w:ilvl w:val="0"/>
          <w:numId w:val="15"/>
        </w:numPr>
        <w:autoSpaceDE w:val="0"/>
        <w:autoSpaceDN w:val="0"/>
        <w:adjustRightInd w:val="0"/>
        <w:spacing w:after="0" w:line="240" w:lineRule="auto"/>
        <w:jc w:val="both"/>
        <w:rPr>
          <w:rFonts w:cs="Arial"/>
        </w:rPr>
      </w:pPr>
      <w:r>
        <w:t xml:space="preserve">Documented evidence of a prior full vaccination course (two vaccinations at least one month apart); or </w:t>
      </w:r>
    </w:p>
    <w:p w14:paraId="09FFD7DB" w14:textId="1E87573E" w:rsidR="00BD76DB" w:rsidRPr="004D4463" w:rsidRDefault="004D4463" w:rsidP="004D4463">
      <w:pPr>
        <w:pStyle w:val="ListParagraph"/>
        <w:numPr>
          <w:ilvl w:val="0"/>
          <w:numId w:val="15"/>
        </w:numPr>
        <w:autoSpaceDE w:val="0"/>
        <w:autoSpaceDN w:val="0"/>
        <w:adjustRightInd w:val="0"/>
        <w:spacing w:after="0" w:line="240" w:lineRule="auto"/>
        <w:jc w:val="both"/>
        <w:rPr>
          <w:rStyle w:val="Hyperlink"/>
          <w:rFonts w:cs="Arial"/>
          <w:color w:val="auto"/>
          <w:u w:val="none"/>
        </w:rPr>
      </w:pPr>
      <w:proofErr w:type="gramStart"/>
      <w:r>
        <w:t>Presence</w:t>
      </w:r>
      <w:proofErr w:type="gramEnd"/>
      <w:r>
        <w:t xml:space="preserve"> of adequate antibodies on serological testing (measles IgG, mumps IgG, rubella IgG, and varicella IgG). Testing must be performed by a National Association of Testing Authorities (NATA) accredited laboratory.</w:t>
      </w:r>
    </w:p>
    <w:p w14:paraId="28C7B673" w14:textId="26BFDB2D" w:rsidR="00BD76DB" w:rsidRPr="00BD76DB" w:rsidRDefault="00BD76DB" w:rsidP="00BD76DB">
      <w:pPr>
        <w:pStyle w:val="ListParagraph"/>
        <w:numPr>
          <w:ilvl w:val="0"/>
          <w:numId w:val="8"/>
        </w:numPr>
        <w:autoSpaceDE w:val="0"/>
        <w:autoSpaceDN w:val="0"/>
        <w:adjustRightInd w:val="0"/>
        <w:spacing w:after="0" w:line="240" w:lineRule="auto"/>
        <w:jc w:val="both"/>
        <w:rPr>
          <w:rStyle w:val="Hyperlink"/>
          <w:rFonts w:cs="Arial"/>
          <w:color w:val="auto"/>
          <w:u w:val="none"/>
        </w:rPr>
      </w:pPr>
      <w:proofErr w:type="spellStart"/>
      <w:r w:rsidRPr="00BD76DB">
        <w:rPr>
          <w:rStyle w:val="Hyperlink"/>
          <w:rFonts w:cs="Arial"/>
          <w:color w:val="auto"/>
          <w:u w:val="none"/>
        </w:rPr>
        <w:t>Varciella</w:t>
      </w:r>
      <w:proofErr w:type="spellEnd"/>
    </w:p>
    <w:p w14:paraId="008A6153" w14:textId="77777777" w:rsidR="004D4463" w:rsidRDefault="004D4463" w:rsidP="004D4463">
      <w:pPr>
        <w:autoSpaceDE w:val="0"/>
        <w:autoSpaceDN w:val="0"/>
        <w:adjustRightInd w:val="0"/>
        <w:spacing w:after="0" w:line="240" w:lineRule="auto"/>
        <w:jc w:val="both"/>
      </w:pPr>
      <w:r>
        <w:t xml:space="preserve">All students must provide evidence of immunity to measles, mumps, </w:t>
      </w:r>
      <w:proofErr w:type="gramStart"/>
      <w:r>
        <w:t>rubella</w:t>
      </w:r>
      <w:proofErr w:type="gramEnd"/>
      <w:r>
        <w:t xml:space="preserve"> and varicella, as referred to in </w:t>
      </w:r>
      <w:hyperlink r:id="rId10" w:history="1">
        <w:r w:rsidRPr="004D4463">
          <w:rPr>
            <w:rStyle w:val="Hyperlink"/>
          </w:rPr>
          <w:t>The Australian Immunisation Handbook 3.3.7</w:t>
        </w:r>
      </w:hyperlink>
      <w:r>
        <w:t xml:space="preserve">. </w:t>
      </w:r>
    </w:p>
    <w:p w14:paraId="22B91DCD" w14:textId="77777777" w:rsidR="004D4463" w:rsidRDefault="004D4463" w:rsidP="004D4463">
      <w:pPr>
        <w:autoSpaceDE w:val="0"/>
        <w:autoSpaceDN w:val="0"/>
        <w:adjustRightInd w:val="0"/>
        <w:spacing w:after="0" w:line="240" w:lineRule="auto"/>
        <w:jc w:val="both"/>
      </w:pPr>
      <w:r>
        <w:t xml:space="preserve">Acceptable evidence of immunity includes: </w:t>
      </w:r>
    </w:p>
    <w:p w14:paraId="32B91997" w14:textId="77777777" w:rsidR="004D4463" w:rsidRPr="004D4463" w:rsidRDefault="004D4463" w:rsidP="004D4463">
      <w:pPr>
        <w:pStyle w:val="ListParagraph"/>
        <w:numPr>
          <w:ilvl w:val="0"/>
          <w:numId w:val="15"/>
        </w:numPr>
        <w:autoSpaceDE w:val="0"/>
        <w:autoSpaceDN w:val="0"/>
        <w:adjustRightInd w:val="0"/>
        <w:spacing w:after="0" w:line="240" w:lineRule="auto"/>
        <w:jc w:val="both"/>
        <w:rPr>
          <w:rFonts w:cs="Arial"/>
        </w:rPr>
      </w:pPr>
      <w:r>
        <w:t xml:space="preserve">Documented evidence of a prior full vaccination course (two vaccinations at least one month apart); or </w:t>
      </w:r>
    </w:p>
    <w:p w14:paraId="021780B7" w14:textId="77777777" w:rsidR="004D4463" w:rsidRPr="004D4463" w:rsidRDefault="004D4463" w:rsidP="004D4463">
      <w:pPr>
        <w:pStyle w:val="ListParagraph"/>
        <w:numPr>
          <w:ilvl w:val="0"/>
          <w:numId w:val="15"/>
        </w:numPr>
        <w:autoSpaceDE w:val="0"/>
        <w:autoSpaceDN w:val="0"/>
        <w:adjustRightInd w:val="0"/>
        <w:spacing w:after="0" w:line="240" w:lineRule="auto"/>
        <w:jc w:val="both"/>
        <w:rPr>
          <w:rStyle w:val="Hyperlink"/>
          <w:rFonts w:cs="Arial"/>
          <w:color w:val="auto"/>
          <w:u w:val="none"/>
        </w:rPr>
      </w:pPr>
      <w:proofErr w:type="gramStart"/>
      <w:r>
        <w:t>Presence</w:t>
      </w:r>
      <w:proofErr w:type="gramEnd"/>
      <w:r>
        <w:t xml:space="preserve"> of adequate antibodies on serological testing (measles IgG, mumps IgG, rubella IgG, and varicella IgG). Testing must be performed by a National Association of Testing Authorities (NATA) accredited laboratory.</w:t>
      </w:r>
    </w:p>
    <w:p w14:paraId="461FB56C" w14:textId="77777777" w:rsidR="00BD76DB" w:rsidRPr="00BD76DB" w:rsidRDefault="00BD76DB" w:rsidP="00BD76DB">
      <w:pPr>
        <w:autoSpaceDE w:val="0"/>
        <w:autoSpaceDN w:val="0"/>
        <w:adjustRightInd w:val="0"/>
        <w:spacing w:after="0" w:line="240" w:lineRule="auto"/>
        <w:jc w:val="both"/>
        <w:rPr>
          <w:rStyle w:val="Hyperlink"/>
          <w:rFonts w:cs="Arial"/>
          <w:color w:val="auto"/>
          <w:u w:val="none"/>
        </w:rPr>
      </w:pPr>
    </w:p>
    <w:p w14:paraId="09275E98" w14:textId="072F44F8" w:rsidR="00BD76DB" w:rsidRPr="00BD76DB" w:rsidRDefault="00BD76DB" w:rsidP="00AE3F26">
      <w:pPr>
        <w:pStyle w:val="ListParagraph"/>
        <w:numPr>
          <w:ilvl w:val="0"/>
          <w:numId w:val="8"/>
        </w:numPr>
        <w:autoSpaceDE w:val="0"/>
        <w:autoSpaceDN w:val="0"/>
        <w:adjustRightInd w:val="0"/>
        <w:spacing w:after="0" w:line="240" w:lineRule="auto"/>
        <w:rPr>
          <w:rStyle w:val="Hyperlink"/>
          <w:rFonts w:cs="Arial"/>
          <w:color w:val="auto"/>
          <w:u w:val="none"/>
        </w:rPr>
      </w:pPr>
      <w:r w:rsidRPr="00BD76DB">
        <w:rPr>
          <w:rStyle w:val="Hyperlink"/>
          <w:rFonts w:cs="Arial"/>
          <w:color w:val="auto"/>
          <w:u w:val="none"/>
        </w:rPr>
        <w:t>Tuberculosis (TB) Screening</w:t>
      </w:r>
      <w:r w:rsidR="00AE3F26">
        <w:rPr>
          <w:rStyle w:val="Hyperlink"/>
          <w:rFonts w:cs="Arial"/>
          <w:color w:val="auto"/>
          <w:u w:val="none"/>
        </w:rPr>
        <w:t xml:space="preserve"> (within 12 months)</w:t>
      </w:r>
    </w:p>
    <w:p w14:paraId="4E44375F" w14:textId="57CB10CD" w:rsidR="00BD76DB" w:rsidRPr="00BD76DB" w:rsidRDefault="00DF711A" w:rsidP="00BD76DB">
      <w:pPr>
        <w:autoSpaceDE w:val="0"/>
        <w:autoSpaceDN w:val="0"/>
        <w:adjustRightInd w:val="0"/>
        <w:spacing w:after="0" w:line="240" w:lineRule="auto"/>
      </w:pPr>
      <w:r>
        <w:lastRenderedPageBreak/>
        <w:t xml:space="preserve">All students must have a </w:t>
      </w:r>
      <w:proofErr w:type="spellStart"/>
      <w:r>
        <w:t>Quantiferon</w:t>
      </w:r>
      <w:proofErr w:type="spellEnd"/>
      <w:r>
        <w:t xml:space="preserve">-TB blood test or a Mantoux test (Tuberculin skin test) to determine evidence of past exposure to tuberculosis. </w:t>
      </w:r>
      <w:r w:rsidR="00AE3F26" w:rsidRPr="00AE3F26">
        <w:t xml:space="preserve">Test </w:t>
      </w:r>
      <w:proofErr w:type="gramStart"/>
      <w:r w:rsidR="00AE3F26" w:rsidRPr="00AE3F26">
        <w:t>result</w:t>
      </w:r>
      <w:proofErr w:type="gramEnd"/>
      <w:r w:rsidR="00AE3F26" w:rsidRPr="00AE3F26">
        <w:t xml:space="preserve"> must have been collected within the last 12 months.</w:t>
      </w:r>
      <w:r w:rsidR="00AE3F26">
        <w:t xml:space="preserve"> </w:t>
      </w:r>
      <w:r w:rsidR="00BD76DB" w:rsidRPr="00BD76DB">
        <w:t xml:space="preserve">Where a positive test result is obtained, </w:t>
      </w:r>
      <w:r>
        <w:t xml:space="preserve">you </w:t>
      </w:r>
      <w:r w:rsidR="00BD76DB" w:rsidRPr="00BD76DB">
        <w:t>will</w:t>
      </w:r>
      <w:r>
        <w:t xml:space="preserve"> need to</w:t>
      </w:r>
      <w:r w:rsidR="00BD76DB" w:rsidRPr="00BD76DB">
        <w:t xml:space="preserve"> be referred </w:t>
      </w:r>
      <w:r>
        <w:t xml:space="preserve">to the Anita Clayton Centre </w:t>
      </w:r>
      <w:r w:rsidR="00BD76DB" w:rsidRPr="00BD76DB">
        <w:t xml:space="preserve">for </w:t>
      </w:r>
      <w:r>
        <w:t>review and a c</w:t>
      </w:r>
      <w:r w:rsidR="00BD76DB" w:rsidRPr="00BD76DB">
        <w:t>hest X-ray.</w:t>
      </w:r>
    </w:p>
    <w:p w14:paraId="2DC2046C" w14:textId="2DD68B63" w:rsidR="00F95D53" w:rsidRPr="00F95D53" w:rsidRDefault="00F95D53" w:rsidP="00BD76DB">
      <w:pPr>
        <w:pStyle w:val="ListParagraph"/>
        <w:spacing w:after="0" w:line="240" w:lineRule="auto"/>
        <w:rPr>
          <w:rFonts w:cs="Arial"/>
        </w:rPr>
      </w:pPr>
    </w:p>
    <w:p w14:paraId="781E7428" w14:textId="4AACCED2" w:rsidR="00AE3F26" w:rsidRDefault="00BD76DB" w:rsidP="00AE3F26">
      <w:pPr>
        <w:pStyle w:val="ListParagraph"/>
        <w:numPr>
          <w:ilvl w:val="0"/>
          <w:numId w:val="8"/>
        </w:numPr>
        <w:spacing w:after="0"/>
      </w:pPr>
      <w:r>
        <w:t>Methicillin Resistant Staphylococcus Aureus (MRSA)</w:t>
      </w:r>
    </w:p>
    <w:p w14:paraId="1F5C8165" w14:textId="2DDA7138" w:rsidR="00BD76DB" w:rsidRDefault="00BD76DB" w:rsidP="00BD76DB">
      <w:r>
        <w:t>All HCWs who will have direct clinical patient contact are required to have their MRSA risk status assessed as part of a pre-employment / commencement process. MRSA screening samples are to be taken from the nostrils, throat and any skin lesions or wounds:</w:t>
      </w:r>
    </w:p>
    <w:p w14:paraId="3ADCBC75" w14:textId="61B407B7" w:rsidR="00BD76DB" w:rsidRDefault="00BD76DB" w:rsidP="00BD76DB">
      <w:pPr>
        <w:pStyle w:val="ListParagraph"/>
        <w:numPr>
          <w:ilvl w:val="0"/>
          <w:numId w:val="7"/>
        </w:numPr>
      </w:pPr>
      <w:r>
        <w:t>The screening must take place at a NATA accredited (i.e. Path West) laboratory prior to commencement of employment.</w:t>
      </w:r>
    </w:p>
    <w:p w14:paraId="4136BA42" w14:textId="04A1894B" w:rsidR="00BD76DB" w:rsidRDefault="00BD76DB" w:rsidP="00BD76DB">
      <w:pPr>
        <w:pStyle w:val="ListParagraph"/>
        <w:numPr>
          <w:ilvl w:val="0"/>
          <w:numId w:val="7"/>
        </w:numPr>
      </w:pPr>
      <w:r>
        <w:t>Should MRSA be isolated, there must be no contact with patients until the appropriate treatment and further testing for clearance has been undertaken. Employment or volunteer duties may be deferred following CAHS Staff Health consultation with the Clinical Microbiologist.</w:t>
      </w:r>
    </w:p>
    <w:p w14:paraId="4BC6705B" w14:textId="54412094" w:rsidR="00F95D53" w:rsidRDefault="00BD76DB" w:rsidP="00BD76DB">
      <w:pPr>
        <w:pStyle w:val="ListParagraph"/>
        <w:numPr>
          <w:ilvl w:val="0"/>
          <w:numId w:val="7"/>
        </w:numPr>
      </w:pPr>
      <w:r>
        <w:t>Employment will usually only be delayed until 24 hours after the commencement of anti-microbial therapy.</w:t>
      </w:r>
    </w:p>
    <w:p w14:paraId="1CB8D966" w14:textId="77777777" w:rsidR="00DF711A" w:rsidRDefault="00DF711A" w:rsidP="00DF711A">
      <w:pPr>
        <w:pStyle w:val="ListParagraph"/>
      </w:pPr>
    </w:p>
    <w:p w14:paraId="0A88751A" w14:textId="01D4A7FF" w:rsidR="00DF711A" w:rsidRDefault="00DF711A" w:rsidP="0022441A">
      <w:pPr>
        <w:pStyle w:val="ListParagraph"/>
        <w:numPr>
          <w:ilvl w:val="0"/>
          <w:numId w:val="16"/>
        </w:numPr>
        <w:spacing w:after="0"/>
      </w:pPr>
      <w:r>
        <w:t>Influenza</w:t>
      </w:r>
    </w:p>
    <w:p w14:paraId="3110A742" w14:textId="3E2D0CEE" w:rsidR="00DF711A" w:rsidRDefault="00DF711A" w:rsidP="00DF711A">
      <w:r w:rsidRPr="00DF711A">
        <w:t>It is mandatory that all students receive yearly influenza vaccinations.</w:t>
      </w:r>
    </w:p>
    <w:p w14:paraId="3784D065" w14:textId="33F36E62" w:rsidR="00DF711A" w:rsidRDefault="00DF711A" w:rsidP="0022441A">
      <w:pPr>
        <w:pStyle w:val="ListParagraph"/>
        <w:numPr>
          <w:ilvl w:val="0"/>
          <w:numId w:val="16"/>
        </w:numPr>
        <w:spacing w:after="0"/>
      </w:pPr>
      <w:r>
        <w:t>COVID-19 Vaccination (3 doses)</w:t>
      </w:r>
    </w:p>
    <w:p w14:paraId="4A961267" w14:textId="4D858633" w:rsidR="00DF711A" w:rsidRDefault="00DF711A" w:rsidP="00DF711A">
      <w:r>
        <w:t xml:space="preserve">Covid-19 Vaccination is mandatory for all students, please provide evidence of 3 doses and dates of vaccination. </w:t>
      </w:r>
    </w:p>
    <w:p w14:paraId="45E27208" w14:textId="69EA7CC0" w:rsidR="00BD76DB" w:rsidRDefault="00BD76DB" w:rsidP="00BD76DB">
      <w:pPr>
        <w:pStyle w:val="Heading2"/>
      </w:pPr>
      <w:r>
        <w:t>Mandatory training</w:t>
      </w:r>
    </w:p>
    <w:p w14:paraId="66A4D4AE" w14:textId="77777777" w:rsidR="00DF711A" w:rsidRDefault="00F95D53" w:rsidP="0022441A">
      <w:pPr>
        <w:pStyle w:val="ListParagraph"/>
        <w:numPr>
          <w:ilvl w:val="0"/>
          <w:numId w:val="16"/>
        </w:numPr>
        <w:spacing w:after="0"/>
      </w:pPr>
      <w:r>
        <w:t>Hand Hygiene Online Learning Certificate (within 12 months)</w:t>
      </w:r>
    </w:p>
    <w:p w14:paraId="53B156FE" w14:textId="780B5ABC" w:rsidR="00F95D53" w:rsidRPr="00DF711A" w:rsidRDefault="00DF711A" w:rsidP="00DF711A">
      <w:r w:rsidRPr="00DF711A">
        <w:rPr>
          <w:rFonts w:cs="Arial"/>
        </w:rPr>
        <w:t xml:space="preserve">The Hand Hygiene course can be </w:t>
      </w:r>
      <w:r w:rsidR="00F95D53" w:rsidRPr="00DF711A">
        <w:rPr>
          <w:rFonts w:cs="Arial"/>
        </w:rPr>
        <w:t>available</w:t>
      </w:r>
      <w:r w:rsidRPr="00DF711A">
        <w:rPr>
          <w:rFonts w:cs="Arial"/>
        </w:rPr>
        <w:t xml:space="preserve"> here</w:t>
      </w:r>
      <w:r w:rsidR="00F95D53" w:rsidRPr="00DF711A">
        <w:rPr>
          <w:rFonts w:cs="Arial"/>
        </w:rPr>
        <w:t xml:space="preserve">: </w:t>
      </w:r>
      <w:hyperlink r:id="rId11" w:history="1">
        <w:r w:rsidR="00F95D53" w:rsidRPr="00DF711A">
          <w:rPr>
            <w:rStyle w:val="Hyperlink"/>
            <w:rFonts w:cs="Arial"/>
          </w:rPr>
          <w:t>https://www.hha.org.au/</w:t>
        </w:r>
      </w:hyperlink>
    </w:p>
    <w:p w14:paraId="433EED54" w14:textId="000E964F" w:rsidR="00AE3F26" w:rsidRDefault="00F95D53" w:rsidP="0022441A">
      <w:pPr>
        <w:pStyle w:val="ListParagraph"/>
        <w:numPr>
          <w:ilvl w:val="0"/>
          <w:numId w:val="16"/>
        </w:numPr>
        <w:spacing w:after="0"/>
      </w:pPr>
      <w:r>
        <w:t>Basic training in correct use (i.e. donning and doffing) of Personal Protective Equipment (PPE) (within 12 months)</w:t>
      </w:r>
    </w:p>
    <w:p w14:paraId="031C64D1" w14:textId="7417A6B6" w:rsidR="002B208B" w:rsidRDefault="002B208B" w:rsidP="002B208B">
      <w:r>
        <w:t xml:space="preserve">PPE online training is available here: </w:t>
      </w:r>
      <w:hyperlink r:id="rId12" w:history="1">
        <w:r w:rsidRPr="00F95198">
          <w:rPr>
            <w:rStyle w:val="Hyperlink"/>
          </w:rPr>
          <w:t>https://nmhs.elearn.net.au/enrol/index.php?id=812</w:t>
        </w:r>
      </w:hyperlink>
      <w:r>
        <w:t xml:space="preserve">. Please send us the Certificate as evidence of course completion.  </w:t>
      </w:r>
    </w:p>
    <w:p w14:paraId="02D40B7C" w14:textId="4AA8FE36" w:rsidR="00F95D53" w:rsidRDefault="00F95D53" w:rsidP="00AE3F26">
      <w:pPr>
        <w:pStyle w:val="ListParagraph"/>
        <w:numPr>
          <w:ilvl w:val="0"/>
          <w:numId w:val="16"/>
        </w:numPr>
        <w:spacing w:after="0"/>
      </w:pPr>
      <w:r>
        <w:t>Training in Basic Life Support from a nationally accredited agency</w:t>
      </w:r>
      <w:r w:rsidR="00AE3F26">
        <w:t>.</w:t>
      </w:r>
    </w:p>
    <w:p w14:paraId="6F933B62" w14:textId="37884BEF" w:rsidR="00AE3F26" w:rsidRPr="00AE3F26" w:rsidRDefault="00AE3F26" w:rsidP="00AE3F26">
      <w:pPr>
        <w:spacing w:after="0"/>
        <w:rPr>
          <w:rFonts w:cs="Arial"/>
        </w:rPr>
      </w:pPr>
      <w:r w:rsidRPr="00AE3F26">
        <w:rPr>
          <w:rFonts w:cs="Arial"/>
        </w:rPr>
        <w:t>Provide First Aid (HLTAID003 or HLTAID011) is valid for 3 years and contains a CPR component that is valid for 1 year.</w:t>
      </w:r>
    </w:p>
    <w:p w14:paraId="73CF11CE" w14:textId="77777777" w:rsidR="00F95D53" w:rsidRPr="00AE3F26" w:rsidRDefault="00F95D53" w:rsidP="00AE3F26">
      <w:pPr>
        <w:spacing w:before="80" w:after="80" w:line="276" w:lineRule="auto"/>
        <w:jc w:val="both"/>
        <w:rPr>
          <w:rFonts w:cs="Arial"/>
          <w:b/>
        </w:rPr>
      </w:pPr>
      <w:r w:rsidRPr="00AE3F26">
        <w:rPr>
          <w:rFonts w:cs="Arial"/>
        </w:rPr>
        <w:t>Training must be taught to the Australian Resuscitation Council Guidelines, including:</w:t>
      </w:r>
    </w:p>
    <w:p w14:paraId="69EAEFCA" w14:textId="77777777" w:rsidR="00F95D53" w:rsidRPr="00117222" w:rsidRDefault="00F95D53" w:rsidP="00117222">
      <w:pPr>
        <w:pStyle w:val="ListParagraph"/>
        <w:numPr>
          <w:ilvl w:val="0"/>
          <w:numId w:val="20"/>
        </w:numPr>
        <w:spacing w:before="80" w:after="80" w:line="276" w:lineRule="auto"/>
        <w:jc w:val="both"/>
        <w:rPr>
          <w:rFonts w:cs="Arial"/>
        </w:rPr>
      </w:pPr>
      <w:r w:rsidRPr="00117222">
        <w:rPr>
          <w:rFonts w:cs="Arial"/>
        </w:rPr>
        <w:t>Australian Resuscitation Council (ARC) Guidelines</w:t>
      </w:r>
    </w:p>
    <w:p w14:paraId="74FDFE35" w14:textId="77777777" w:rsidR="00F95D53" w:rsidRPr="00117222" w:rsidRDefault="00F95D53" w:rsidP="00117222">
      <w:pPr>
        <w:pStyle w:val="ListParagraph"/>
        <w:numPr>
          <w:ilvl w:val="0"/>
          <w:numId w:val="20"/>
        </w:numPr>
        <w:spacing w:before="80" w:after="80" w:line="276" w:lineRule="auto"/>
        <w:jc w:val="both"/>
        <w:rPr>
          <w:rFonts w:cs="Arial"/>
        </w:rPr>
      </w:pPr>
      <w:r w:rsidRPr="00117222">
        <w:rPr>
          <w:rFonts w:cs="Arial"/>
        </w:rPr>
        <w:t>DRSABCDE Algorithm</w:t>
      </w:r>
    </w:p>
    <w:p w14:paraId="4F0E31B0" w14:textId="77777777" w:rsidR="00F95D53" w:rsidRPr="00117222" w:rsidRDefault="00F95D53" w:rsidP="00117222">
      <w:pPr>
        <w:pStyle w:val="ListParagraph"/>
        <w:numPr>
          <w:ilvl w:val="0"/>
          <w:numId w:val="20"/>
        </w:numPr>
        <w:spacing w:before="80" w:after="80" w:line="276" w:lineRule="auto"/>
        <w:jc w:val="both"/>
        <w:rPr>
          <w:rFonts w:cs="Arial"/>
        </w:rPr>
      </w:pPr>
      <w:r w:rsidRPr="00117222">
        <w:rPr>
          <w:rFonts w:cs="Arial"/>
        </w:rPr>
        <w:t>Cardiopulmonary Resuscitation</w:t>
      </w:r>
    </w:p>
    <w:p w14:paraId="6E94FF48" w14:textId="77777777" w:rsidR="00F95D53" w:rsidRPr="00117222" w:rsidRDefault="00F95D53" w:rsidP="00117222">
      <w:pPr>
        <w:pStyle w:val="ListParagraph"/>
        <w:numPr>
          <w:ilvl w:val="0"/>
          <w:numId w:val="20"/>
        </w:numPr>
        <w:spacing w:before="80" w:after="80" w:line="276" w:lineRule="auto"/>
        <w:jc w:val="both"/>
        <w:rPr>
          <w:rFonts w:cs="Arial"/>
        </w:rPr>
      </w:pPr>
      <w:r w:rsidRPr="00117222">
        <w:rPr>
          <w:rFonts w:cs="Arial"/>
        </w:rPr>
        <w:t>Defibrillation</w:t>
      </w:r>
    </w:p>
    <w:p w14:paraId="65125EE5" w14:textId="77777777" w:rsidR="00F95D53" w:rsidRPr="00117222" w:rsidRDefault="00F95D53" w:rsidP="00117222">
      <w:pPr>
        <w:pStyle w:val="ListParagraph"/>
        <w:numPr>
          <w:ilvl w:val="0"/>
          <w:numId w:val="20"/>
        </w:numPr>
        <w:spacing w:before="80" w:after="80" w:line="276" w:lineRule="auto"/>
        <w:jc w:val="both"/>
        <w:rPr>
          <w:rFonts w:cs="Arial"/>
        </w:rPr>
      </w:pPr>
      <w:r w:rsidRPr="00117222">
        <w:rPr>
          <w:rFonts w:cs="Arial"/>
        </w:rPr>
        <w:t xml:space="preserve">Infant, </w:t>
      </w:r>
      <w:proofErr w:type="gramStart"/>
      <w:r w:rsidRPr="00117222">
        <w:rPr>
          <w:rFonts w:cs="Arial"/>
        </w:rPr>
        <w:t>child</w:t>
      </w:r>
      <w:proofErr w:type="gramEnd"/>
      <w:r w:rsidRPr="00117222">
        <w:rPr>
          <w:rFonts w:cs="Arial"/>
        </w:rPr>
        <w:t xml:space="preserve"> and adult</w:t>
      </w:r>
    </w:p>
    <w:p w14:paraId="7A7CF2C1" w14:textId="77777777" w:rsidR="00F95D53" w:rsidRDefault="00F95D53" w:rsidP="00F95D53">
      <w:pPr>
        <w:pStyle w:val="ListParagraph"/>
      </w:pPr>
    </w:p>
    <w:p w14:paraId="67399A07" w14:textId="284BBCD5" w:rsidR="0022441A" w:rsidRDefault="00F95D53" w:rsidP="0022441A">
      <w:pPr>
        <w:pStyle w:val="ListParagraph"/>
        <w:numPr>
          <w:ilvl w:val="0"/>
          <w:numId w:val="16"/>
        </w:numPr>
      </w:pPr>
      <w:r>
        <w:lastRenderedPageBreak/>
        <w:t xml:space="preserve">Training in Manual Handling (Manutention) for Health Professionals from a nationally </w:t>
      </w:r>
      <w:proofErr w:type="spellStart"/>
      <w:r>
        <w:t>recognised</w:t>
      </w:r>
      <w:proofErr w:type="spellEnd"/>
      <w:r>
        <w:t xml:space="preserve"> Manual Handling agency</w:t>
      </w:r>
      <w:r w:rsidR="00AE3F26">
        <w:t>.</w:t>
      </w:r>
    </w:p>
    <w:p w14:paraId="44C3AA33" w14:textId="476039A0" w:rsidR="00AE3F26" w:rsidRDefault="00AE3F26" w:rsidP="00AE3F26">
      <w:pPr>
        <w:ind w:left="360"/>
      </w:pPr>
      <w:r w:rsidRPr="00AE3F26">
        <w:t xml:space="preserve">Manual Handling must be updated annually </w:t>
      </w:r>
      <w:r w:rsidR="00117222">
        <w:t xml:space="preserve">and </w:t>
      </w:r>
      <w:r w:rsidRPr="00AE3F26">
        <w:t xml:space="preserve">must be </w:t>
      </w:r>
      <w:r w:rsidR="00117222">
        <w:t>nursing-specific</w:t>
      </w:r>
      <w:r w:rsidRPr="00AE3F26">
        <w:t xml:space="preserve"> and consist of theory and practical components. Fully online courses will not be accepted.</w:t>
      </w:r>
      <w:r>
        <w:t xml:space="preserve"> Examples of providers are listed below:</w:t>
      </w:r>
    </w:p>
    <w:p w14:paraId="1F59EB0F" w14:textId="22039598" w:rsidR="00AE3F26" w:rsidRDefault="00AE3F26" w:rsidP="00AE3F26">
      <w:pPr>
        <w:pStyle w:val="ListParagraph"/>
        <w:numPr>
          <w:ilvl w:val="0"/>
          <w:numId w:val="17"/>
        </w:numPr>
      </w:pPr>
      <w:r>
        <w:t>Allen’s Training</w:t>
      </w:r>
      <w:r w:rsidR="00117222">
        <w:t>:</w:t>
      </w:r>
      <w:r>
        <w:t xml:space="preserve"> </w:t>
      </w:r>
      <w:hyperlink r:id="rId13" w:history="1">
        <w:r w:rsidR="00117222" w:rsidRPr="00F95198">
          <w:rPr>
            <w:rStyle w:val="Hyperlink"/>
          </w:rPr>
          <w:t>www.allenstraining.com.au</w:t>
        </w:r>
      </w:hyperlink>
      <w:r w:rsidR="00117222">
        <w:t xml:space="preserve"> </w:t>
      </w:r>
      <w:r>
        <w:t>CPR, First Aid, Manual Handling</w:t>
      </w:r>
    </w:p>
    <w:p w14:paraId="5130558E" w14:textId="55810EFB" w:rsidR="00AE3F26" w:rsidRDefault="00AE3F26" w:rsidP="00AE3F26">
      <w:pPr>
        <w:pStyle w:val="ListParagraph"/>
        <w:numPr>
          <w:ilvl w:val="0"/>
          <w:numId w:val="17"/>
        </w:numPr>
      </w:pPr>
      <w:proofErr w:type="spellStart"/>
      <w:r>
        <w:t>Auscare</w:t>
      </w:r>
      <w:proofErr w:type="spellEnd"/>
      <w:r w:rsidR="00117222">
        <w:t>:</w:t>
      </w:r>
      <w:r>
        <w:t xml:space="preserve"> </w:t>
      </w:r>
      <w:hyperlink r:id="rId14" w:history="1">
        <w:r w:rsidR="00117222" w:rsidRPr="00F95198">
          <w:rPr>
            <w:rStyle w:val="Hyperlink"/>
          </w:rPr>
          <w:t>https://auscaregroup.com.au</w:t>
        </w:r>
      </w:hyperlink>
      <w:r w:rsidR="00117222">
        <w:t xml:space="preserve"> </w:t>
      </w:r>
      <w:r>
        <w:t xml:space="preserve"> CPR, First Aid, Manual Handling</w:t>
      </w:r>
    </w:p>
    <w:p w14:paraId="01370D52" w14:textId="0ABB2648" w:rsidR="00AE3F26" w:rsidRDefault="00AE3F26" w:rsidP="00AE3F26">
      <w:pPr>
        <w:pStyle w:val="ListParagraph"/>
        <w:numPr>
          <w:ilvl w:val="0"/>
          <w:numId w:val="17"/>
        </w:numPr>
      </w:pPr>
      <w:proofErr w:type="spellStart"/>
      <w:r>
        <w:t>Bestwest</w:t>
      </w:r>
      <w:proofErr w:type="spellEnd"/>
      <w:r>
        <w:t xml:space="preserve"> Care</w:t>
      </w:r>
      <w:r w:rsidR="00117222">
        <w:t>:</w:t>
      </w:r>
      <w:r>
        <w:t xml:space="preserve"> </w:t>
      </w:r>
      <w:hyperlink r:id="rId15" w:history="1">
        <w:r w:rsidR="00117222" w:rsidRPr="00F95198">
          <w:rPr>
            <w:rStyle w:val="Hyperlink"/>
          </w:rPr>
          <w:t>https://www.bestwestcare.net.au</w:t>
        </w:r>
      </w:hyperlink>
      <w:r w:rsidR="00117222">
        <w:t xml:space="preserve"> </w:t>
      </w:r>
      <w:r>
        <w:t>CPR, First Aid, Manual Handling</w:t>
      </w:r>
    </w:p>
    <w:p w14:paraId="53B997AA" w14:textId="1F140B73" w:rsidR="00AE3F26" w:rsidRDefault="00AE3F26" w:rsidP="00AE3F26">
      <w:pPr>
        <w:pStyle w:val="ListParagraph"/>
        <w:numPr>
          <w:ilvl w:val="0"/>
          <w:numId w:val="17"/>
        </w:numPr>
      </w:pPr>
      <w:r>
        <w:t>Healthcare Australia (HCA)</w:t>
      </w:r>
      <w:r w:rsidR="00117222">
        <w:t>:</w:t>
      </w:r>
      <w:r>
        <w:t xml:space="preserve"> </w:t>
      </w:r>
      <w:hyperlink r:id="rId16" w:history="1">
        <w:r w:rsidR="00117222" w:rsidRPr="00F95198">
          <w:rPr>
            <w:rStyle w:val="Hyperlink"/>
          </w:rPr>
          <w:t>http://www.healthcareaustralia.com.au</w:t>
        </w:r>
      </w:hyperlink>
      <w:r w:rsidR="00117222">
        <w:t xml:space="preserve"> </w:t>
      </w:r>
      <w:r>
        <w:t>CPR, Manual Handling</w:t>
      </w:r>
    </w:p>
    <w:p w14:paraId="48408E62" w14:textId="2FF48D7F" w:rsidR="00AE3F26" w:rsidRDefault="00AE3F26" w:rsidP="00AE3F26">
      <w:pPr>
        <w:pStyle w:val="ListParagraph"/>
        <w:numPr>
          <w:ilvl w:val="0"/>
          <w:numId w:val="17"/>
        </w:numPr>
      </w:pPr>
      <w:r>
        <w:t>Job Skills Training Academy</w:t>
      </w:r>
      <w:r w:rsidR="00117222">
        <w:t>:</w:t>
      </w:r>
      <w:r>
        <w:t xml:space="preserve"> </w:t>
      </w:r>
      <w:hyperlink r:id="rId17" w:history="1">
        <w:r w:rsidR="00117222" w:rsidRPr="00F95198">
          <w:rPr>
            <w:rStyle w:val="Hyperlink"/>
          </w:rPr>
          <w:t>https://www.jobskillstrainingacademy.com</w:t>
        </w:r>
      </w:hyperlink>
      <w:r w:rsidR="00117222">
        <w:t xml:space="preserve"> </w:t>
      </w:r>
      <w:r>
        <w:t>Manual Handling</w:t>
      </w:r>
    </w:p>
    <w:p w14:paraId="5BA2608F" w14:textId="09077A80" w:rsidR="00AE3F26" w:rsidRDefault="00AE3F26" w:rsidP="00AE3F26">
      <w:pPr>
        <w:pStyle w:val="ListParagraph"/>
        <w:numPr>
          <w:ilvl w:val="0"/>
          <w:numId w:val="17"/>
        </w:numPr>
      </w:pPr>
      <w:r>
        <w:t>My Flex Health</w:t>
      </w:r>
      <w:r w:rsidR="00117222">
        <w:t>:</w:t>
      </w:r>
      <w:r>
        <w:t xml:space="preserve"> </w:t>
      </w:r>
      <w:hyperlink r:id="rId18" w:history="1">
        <w:r w:rsidR="00117222" w:rsidRPr="00F95198">
          <w:rPr>
            <w:rStyle w:val="Hyperlink"/>
          </w:rPr>
          <w:t>https://www.myflexhealth.com.au</w:t>
        </w:r>
      </w:hyperlink>
      <w:r w:rsidR="00117222">
        <w:t xml:space="preserve"> </w:t>
      </w:r>
      <w:r>
        <w:t>CPR, First Aid, Manual Handling</w:t>
      </w:r>
    </w:p>
    <w:p w14:paraId="6147246F" w14:textId="77777777" w:rsidR="00F95D53" w:rsidRPr="00F95D53" w:rsidRDefault="00F95D53" w:rsidP="00F95D53">
      <w:pPr>
        <w:spacing w:before="80" w:after="80" w:line="276" w:lineRule="auto"/>
        <w:ind w:left="360"/>
        <w:jc w:val="both"/>
        <w:rPr>
          <w:rFonts w:cs="Arial"/>
        </w:rPr>
      </w:pPr>
      <w:r w:rsidRPr="00F95D53">
        <w:rPr>
          <w:rFonts w:cs="Arial"/>
        </w:rPr>
        <w:t>Training must include:</w:t>
      </w:r>
    </w:p>
    <w:p w14:paraId="014D9BDB" w14:textId="77777777" w:rsidR="00F95D53" w:rsidRPr="00B15C2E" w:rsidRDefault="00F95D53" w:rsidP="00117222">
      <w:pPr>
        <w:pStyle w:val="ListParagraph"/>
        <w:numPr>
          <w:ilvl w:val="1"/>
          <w:numId w:val="16"/>
        </w:numPr>
        <w:spacing w:after="0" w:line="240" w:lineRule="auto"/>
        <w:contextualSpacing w:val="0"/>
        <w:jc w:val="both"/>
        <w:rPr>
          <w:rFonts w:cs="Arial"/>
        </w:rPr>
      </w:pPr>
      <w:r w:rsidRPr="00B15C2E">
        <w:rPr>
          <w:rFonts w:cs="Arial"/>
        </w:rPr>
        <w:t>Basic Principles of manual handling</w:t>
      </w:r>
    </w:p>
    <w:p w14:paraId="1960D8C2" w14:textId="77777777" w:rsidR="00F95D53" w:rsidRPr="00B15C2E" w:rsidRDefault="00F95D53" w:rsidP="00117222">
      <w:pPr>
        <w:pStyle w:val="ListParagraph"/>
        <w:numPr>
          <w:ilvl w:val="1"/>
          <w:numId w:val="16"/>
        </w:numPr>
        <w:spacing w:before="80" w:after="0" w:line="240" w:lineRule="auto"/>
        <w:contextualSpacing w:val="0"/>
        <w:jc w:val="both"/>
        <w:rPr>
          <w:rFonts w:cs="Arial"/>
        </w:rPr>
      </w:pPr>
      <w:r w:rsidRPr="00B15C2E">
        <w:rPr>
          <w:rFonts w:cs="Arial"/>
        </w:rPr>
        <w:t>Transferring and repositioning of clients (including bed to chair, bed to standing, chair to standing and assisting a client from the floor)</w:t>
      </w:r>
    </w:p>
    <w:p w14:paraId="336846CC" w14:textId="77777777" w:rsidR="00F95D53" w:rsidRPr="00B15C2E" w:rsidRDefault="00F95D53" w:rsidP="00117222">
      <w:pPr>
        <w:pStyle w:val="ListParagraph"/>
        <w:numPr>
          <w:ilvl w:val="1"/>
          <w:numId w:val="16"/>
        </w:numPr>
        <w:spacing w:before="80" w:after="0" w:line="240" w:lineRule="auto"/>
        <w:contextualSpacing w:val="0"/>
        <w:jc w:val="both"/>
        <w:rPr>
          <w:rFonts w:cs="Arial"/>
        </w:rPr>
      </w:pPr>
      <w:r w:rsidRPr="00B15C2E">
        <w:rPr>
          <w:rFonts w:cs="Arial"/>
        </w:rPr>
        <w:t>Correct use of appropriate equipment</w:t>
      </w:r>
    </w:p>
    <w:p w14:paraId="4270C78E" w14:textId="77777777" w:rsidR="00F95D53" w:rsidRPr="00B15C2E" w:rsidRDefault="00F95D53" w:rsidP="00117222">
      <w:pPr>
        <w:pStyle w:val="ListParagraph"/>
        <w:numPr>
          <w:ilvl w:val="1"/>
          <w:numId w:val="16"/>
        </w:numPr>
        <w:spacing w:before="80" w:after="0" w:line="240" w:lineRule="auto"/>
        <w:contextualSpacing w:val="0"/>
        <w:jc w:val="both"/>
        <w:rPr>
          <w:rFonts w:cs="Arial"/>
        </w:rPr>
      </w:pPr>
      <w:r w:rsidRPr="00B15C2E">
        <w:rPr>
          <w:rFonts w:cs="Arial"/>
        </w:rPr>
        <w:t xml:space="preserve">Problem solving Manual Handling </w:t>
      </w:r>
      <w:proofErr w:type="gramStart"/>
      <w:r w:rsidRPr="00B15C2E">
        <w:rPr>
          <w:rFonts w:cs="Arial"/>
        </w:rPr>
        <w:t>issues</w:t>
      </w:r>
      <w:proofErr w:type="gramEnd"/>
    </w:p>
    <w:p w14:paraId="786C5631" w14:textId="77777777" w:rsidR="0022441A" w:rsidRDefault="0022441A" w:rsidP="00F95D53">
      <w:pPr>
        <w:ind w:left="360"/>
      </w:pPr>
    </w:p>
    <w:p w14:paraId="7BB5E355" w14:textId="3A00CCAE" w:rsidR="0022441A" w:rsidRDefault="0022441A" w:rsidP="00F95D53">
      <w:pPr>
        <w:ind w:left="360"/>
      </w:pPr>
      <w:r>
        <w:t xml:space="preserve">Students who are attending clinical placement at the Government of Western Australia, Child and Adolescent Health Service must also complete: </w:t>
      </w:r>
    </w:p>
    <w:p w14:paraId="3E84BC06" w14:textId="11FF4788" w:rsidR="00F95D53" w:rsidRDefault="0022441A" w:rsidP="0022441A">
      <w:pPr>
        <w:pStyle w:val="ListParagraph"/>
        <w:numPr>
          <w:ilvl w:val="0"/>
          <w:numId w:val="19"/>
        </w:numPr>
      </w:pPr>
      <w:r>
        <w:t>Relevant Paediatric and Adolescent Health unit</w:t>
      </w:r>
    </w:p>
    <w:p w14:paraId="6651A71A" w14:textId="23AB34EE" w:rsidR="0022441A" w:rsidRDefault="0022441A" w:rsidP="0022441A">
      <w:pPr>
        <w:pStyle w:val="ListParagraph"/>
        <w:numPr>
          <w:ilvl w:val="0"/>
          <w:numId w:val="19"/>
        </w:numPr>
      </w:pPr>
      <w:r>
        <w:t>Mandatory reporting of Child Sexual Abuse training</w:t>
      </w:r>
    </w:p>
    <w:p w14:paraId="61906A1C" w14:textId="0F061639" w:rsidR="0022441A" w:rsidRPr="00F95D53" w:rsidRDefault="0022441A" w:rsidP="0022441A">
      <w:pPr>
        <w:pStyle w:val="ListParagraph"/>
        <w:numPr>
          <w:ilvl w:val="0"/>
          <w:numId w:val="19"/>
        </w:numPr>
      </w:pPr>
      <w:r>
        <w:t xml:space="preserve">Read the Community Health Student Nursing Handbook before </w:t>
      </w:r>
      <w:proofErr w:type="gramStart"/>
      <w:r>
        <w:t>placement</w:t>
      </w:r>
      <w:proofErr w:type="gramEnd"/>
    </w:p>
    <w:sectPr w:rsidR="0022441A" w:rsidRPr="00F95D53" w:rsidSect="004F0619">
      <w:headerReference w:type="default" r:id="rId19"/>
      <w:footerReference w:type="default" r:id="rId2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BA57" w14:textId="42EF5C35" w:rsidR="0067083C" w:rsidRDefault="0067083C">
    <w:pPr>
      <w:pStyle w:val="Footer"/>
    </w:pPr>
    <w:r>
      <w:t xml:space="preserve">Clinical Placement Checklist </w:t>
    </w:r>
    <w:r w:rsidR="00117222">
      <w:t>April 2024</w:t>
    </w:r>
    <w:r>
      <w:tab/>
    </w:r>
    <w:r>
      <w:tab/>
      <w:t xml:space="preserve">Page </w:t>
    </w:r>
    <w:r>
      <w:rPr>
        <w:b/>
        <w:bCs/>
      </w:rPr>
      <w:fldChar w:fldCharType="begin"/>
    </w:r>
    <w:r>
      <w:rPr>
        <w:b/>
        <w:bCs/>
      </w:rPr>
      <w:instrText xml:space="preserve"> PAGE  \* Arabic  \* MERGEFORMAT </w:instrText>
    </w:r>
    <w:r>
      <w:rPr>
        <w:b/>
        <w:bCs/>
      </w:rPr>
      <w:fldChar w:fldCharType="separate"/>
    </w:r>
    <w:r w:rsidR="00D062C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62C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B83B" w14:textId="1A3A8EC2" w:rsidR="004F0619" w:rsidRPr="00587FF4" w:rsidRDefault="00D178E7" w:rsidP="00587FF4">
    <w:pPr>
      <w:pStyle w:val="NoSpacing"/>
      <w:rPr>
        <w:b/>
        <w:sz w:val="32"/>
      </w:rPr>
    </w:pPr>
    <w:r>
      <w:rPr>
        <w:b/>
        <w:noProof/>
        <w:sz w:val="24"/>
        <w:lang w:val="en-AU" w:eastAsia="en-AU"/>
      </w:rPr>
      <w:drawing>
        <wp:anchor distT="0" distB="0" distL="114300" distR="114300" simplePos="0" relativeHeight="251658240" behindDoc="0" locked="0" layoutInCell="1" allowOverlap="1" wp14:anchorId="39BE952D" wp14:editId="50C3A692">
          <wp:simplePos x="0" y="0"/>
          <wp:positionH relativeFrom="column">
            <wp:posOffset>374650</wp:posOffset>
          </wp:positionH>
          <wp:positionV relativeFrom="paragraph">
            <wp:posOffset>251460</wp:posOffset>
          </wp:positionV>
          <wp:extent cx="4813300" cy="450506"/>
          <wp:effectExtent l="0" t="0" r="635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0" cy="450506"/>
                  </a:xfrm>
                  <a:prstGeom prst="rect">
                    <a:avLst/>
                  </a:prstGeom>
                </pic:spPr>
              </pic:pic>
            </a:graphicData>
          </a:graphic>
          <wp14:sizeRelH relativeFrom="page">
            <wp14:pctWidth>0</wp14:pctWidth>
          </wp14:sizeRelH>
          <wp14:sizeRelV relativeFrom="page">
            <wp14:pctHeight>0</wp14:pctHeight>
          </wp14:sizeRelV>
        </wp:anchor>
      </w:drawing>
    </w:r>
    <w:r w:rsidR="00587FF4">
      <w:rPr>
        <w:b/>
        <w:sz w:val="24"/>
      </w:rPr>
      <w:t xml:space="preserve">                                                </w:t>
    </w:r>
  </w:p>
  <w:p w14:paraId="09BD7D96" w14:textId="6558C99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6FD"/>
    <w:multiLevelType w:val="hybridMultilevel"/>
    <w:tmpl w:val="F88CC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A1F76"/>
    <w:multiLevelType w:val="hybridMultilevel"/>
    <w:tmpl w:val="4C0270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2A40427"/>
    <w:multiLevelType w:val="hybridMultilevel"/>
    <w:tmpl w:val="1BCA7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B2716"/>
    <w:multiLevelType w:val="hybridMultilevel"/>
    <w:tmpl w:val="1DEC3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063F09"/>
    <w:multiLevelType w:val="hybridMultilevel"/>
    <w:tmpl w:val="FCA62502"/>
    <w:lvl w:ilvl="0" w:tplc="0C09000F">
      <w:start w:val="1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455168"/>
    <w:multiLevelType w:val="hybridMultilevel"/>
    <w:tmpl w:val="A5064C5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B19FC"/>
    <w:multiLevelType w:val="hybridMultilevel"/>
    <w:tmpl w:val="0966F39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335C1A14"/>
    <w:multiLevelType w:val="hybridMultilevel"/>
    <w:tmpl w:val="397A8B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2D3722"/>
    <w:multiLevelType w:val="hybridMultilevel"/>
    <w:tmpl w:val="B1325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C6E7F"/>
    <w:multiLevelType w:val="hybridMultilevel"/>
    <w:tmpl w:val="C7B285E4"/>
    <w:lvl w:ilvl="0" w:tplc="0C090001">
      <w:start w:val="1"/>
      <w:numFmt w:val="bullet"/>
      <w:lvlText w:val=""/>
      <w:lvlJc w:val="left"/>
      <w:pPr>
        <w:ind w:left="720" w:hanging="360"/>
      </w:pPr>
      <w:rPr>
        <w:rFonts w:ascii="Symbol" w:hAnsi="Symbol" w:hint="default"/>
      </w:rPr>
    </w:lvl>
    <w:lvl w:ilvl="1" w:tplc="17ECFF6C">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E97577"/>
    <w:multiLevelType w:val="hybridMultilevel"/>
    <w:tmpl w:val="3454D78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F64F50"/>
    <w:multiLevelType w:val="hybridMultilevel"/>
    <w:tmpl w:val="D0025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866EC0"/>
    <w:multiLevelType w:val="hybridMultilevel"/>
    <w:tmpl w:val="CF186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D440EB"/>
    <w:multiLevelType w:val="hybridMultilevel"/>
    <w:tmpl w:val="8A3E04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4F1392B"/>
    <w:multiLevelType w:val="hybridMultilevel"/>
    <w:tmpl w:val="BAC837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32965"/>
    <w:multiLevelType w:val="hybridMultilevel"/>
    <w:tmpl w:val="C22CC264"/>
    <w:lvl w:ilvl="0" w:tplc="0C09000F">
      <w:start w:val="1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785E01"/>
    <w:multiLevelType w:val="hybridMultilevel"/>
    <w:tmpl w:val="0E6E0F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51E54"/>
    <w:multiLevelType w:val="hybridMultilevel"/>
    <w:tmpl w:val="69C6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77437095">
    <w:abstractNumId w:val="15"/>
  </w:num>
  <w:num w:numId="2" w16cid:durableId="1329748940">
    <w:abstractNumId w:val="17"/>
  </w:num>
  <w:num w:numId="3" w16cid:durableId="2092383170">
    <w:abstractNumId w:val="10"/>
  </w:num>
  <w:num w:numId="4" w16cid:durableId="262538823">
    <w:abstractNumId w:val="5"/>
  </w:num>
  <w:num w:numId="5" w16cid:durableId="1905070289">
    <w:abstractNumId w:val="14"/>
  </w:num>
  <w:num w:numId="6" w16cid:durableId="498694324">
    <w:abstractNumId w:val="19"/>
  </w:num>
  <w:num w:numId="7" w16cid:durableId="993073191">
    <w:abstractNumId w:val="9"/>
  </w:num>
  <w:num w:numId="8" w16cid:durableId="136267746">
    <w:abstractNumId w:val="12"/>
  </w:num>
  <w:num w:numId="9" w16cid:durableId="1284069084">
    <w:abstractNumId w:val="11"/>
  </w:num>
  <w:num w:numId="10" w16cid:durableId="782042214">
    <w:abstractNumId w:val="4"/>
  </w:num>
  <w:num w:numId="11" w16cid:durableId="1302078190">
    <w:abstractNumId w:val="3"/>
  </w:num>
  <w:num w:numId="12" w16cid:durableId="2137023881">
    <w:abstractNumId w:val="18"/>
  </w:num>
  <w:num w:numId="13" w16cid:durableId="267351372">
    <w:abstractNumId w:val="8"/>
  </w:num>
  <w:num w:numId="14" w16cid:durableId="882134914">
    <w:abstractNumId w:val="2"/>
  </w:num>
  <w:num w:numId="15" w16cid:durableId="75784235">
    <w:abstractNumId w:val="6"/>
  </w:num>
  <w:num w:numId="16" w16cid:durableId="2015066132">
    <w:abstractNumId w:val="16"/>
  </w:num>
  <w:num w:numId="17" w16cid:durableId="194199821">
    <w:abstractNumId w:val="13"/>
  </w:num>
  <w:num w:numId="18" w16cid:durableId="976490012">
    <w:abstractNumId w:val="0"/>
  </w:num>
  <w:num w:numId="19" w16cid:durableId="1591696711">
    <w:abstractNumId w:val="7"/>
  </w:num>
  <w:num w:numId="20" w16cid:durableId="43845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DQxMrYwszA2NbRU0lEKTi0uzszPAykwqgUA/TnH5CwAAAA="/>
  </w:docVars>
  <w:rsids>
    <w:rsidRoot w:val="000C74F3"/>
    <w:rsid w:val="00011828"/>
    <w:rsid w:val="00026766"/>
    <w:rsid w:val="00036B92"/>
    <w:rsid w:val="00055B15"/>
    <w:rsid w:val="00066CD3"/>
    <w:rsid w:val="000C74F3"/>
    <w:rsid w:val="00117222"/>
    <w:rsid w:val="001910D2"/>
    <w:rsid w:val="001A28CA"/>
    <w:rsid w:val="001B0AEB"/>
    <w:rsid w:val="001E50DB"/>
    <w:rsid w:val="002126C3"/>
    <w:rsid w:val="0022441A"/>
    <w:rsid w:val="00262E91"/>
    <w:rsid w:val="002B208B"/>
    <w:rsid w:val="002F1770"/>
    <w:rsid w:val="002F2E44"/>
    <w:rsid w:val="00340BE0"/>
    <w:rsid w:val="0034229D"/>
    <w:rsid w:val="00351798"/>
    <w:rsid w:val="003908EF"/>
    <w:rsid w:val="00425AA4"/>
    <w:rsid w:val="00467CC9"/>
    <w:rsid w:val="004D4463"/>
    <w:rsid w:val="004F0619"/>
    <w:rsid w:val="00504A8D"/>
    <w:rsid w:val="00587FF4"/>
    <w:rsid w:val="0063785C"/>
    <w:rsid w:val="0067083C"/>
    <w:rsid w:val="00747DF3"/>
    <w:rsid w:val="00843E64"/>
    <w:rsid w:val="00867D64"/>
    <w:rsid w:val="00870190"/>
    <w:rsid w:val="008818B9"/>
    <w:rsid w:val="00943C44"/>
    <w:rsid w:val="0097487A"/>
    <w:rsid w:val="00991FBF"/>
    <w:rsid w:val="009C63A3"/>
    <w:rsid w:val="009D64A2"/>
    <w:rsid w:val="00A0118C"/>
    <w:rsid w:val="00A81AA7"/>
    <w:rsid w:val="00AE3F26"/>
    <w:rsid w:val="00BD76DB"/>
    <w:rsid w:val="00CA20F1"/>
    <w:rsid w:val="00D062C5"/>
    <w:rsid w:val="00D178E7"/>
    <w:rsid w:val="00D5399A"/>
    <w:rsid w:val="00D9573A"/>
    <w:rsid w:val="00DD18AC"/>
    <w:rsid w:val="00DF436D"/>
    <w:rsid w:val="00DF711A"/>
    <w:rsid w:val="00E82ABF"/>
    <w:rsid w:val="00EC29A9"/>
    <w:rsid w:val="00F709D3"/>
    <w:rsid w:val="00F74AD0"/>
    <w:rsid w:val="00F95D53"/>
    <w:rsid w:val="00FF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63"/>
  </w:style>
  <w:style w:type="paragraph" w:styleId="Heading1">
    <w:name w:val="heading 1"/>
    <w:basedOn w:val="Normal"/>
    <w:next w:val="Normal"/>
    <w:link w:val="Heading1Char"/>
    <w:uiPriority w:val="9"/>
    <w:qFormat/>
    <w:rsid w:val="00F95D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5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
    <w:basedOn w:val="Normal"/>
    <w:link w:val="ListParagraphChar"/>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character" w:customStyle="1" w:styleId="Heading1Char">
    <w:name w:val="Heading 1 Char"/>
    <w:basedOn w:val="DefaultParagraphFont"/>
    <w:link w:val="Heading1"/>
    <w:uiPriority w:val="9"/>
    <w:rsid w:val="00F95D5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95D5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F95D53"/>
    <w:rPr>
      <w:color w:val="0563C1" w:themeColor="hyperlink"/>
      <w:u w:val="single"/>
    </w:rPr>
  </w:style>
  <w:style w:type="character" w:customStyle="1" w:styleId="Heading2Char">
    <w:name w:val="Heading 2 Char"/>
    <w:basedOn w:val="DefaultParagraphFont"/>
    <w:link w:val="Heading2"/>
    <w:uiPriority w:val="9"/>
    <w:rsid w:val="00F95D53"/>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Recommendation Char,List Paragraph1 Char"/>
    <w:link w:val="ListParagraph"/>
    <w:uiPriority w:val="34"/>
    <w:locked/>
    <w:rsid w:val="00F95D53"/>
  </w:style>
  <w:style w:type="character" w:styleId="UnresolvedMention">
    <w:name w:val="Unresolved Mention"/>
    <w:basedOn w:val="DefaultParagraphFont"/>
    <w:uiPriority w:val="99"/>
    <w:semiHidden/>
    <w:unhideWhenUsed/>
    <w:rsid w:val="004D4463"/>
    <w:rPr>
      <w:color w:val="605E5C"/>
      <w:shd w:val="clear" w:color="auto" w:fill="E1DFDD"/>
    </w:rPr>
  </w:style>
  <w:style w:type="character" w:styleId="FollowedHyperlink">
    <w:name w:val="FollowedHyperlink"/>
    <w:basedOn w:val="DefaultParagraphFont"/>
    <w:uiPriority w:val="99"/>
    <w:semiHidden/>
    <w:unhideWhenUsed/>
    <w:rsid w:val="00DF71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ingwithchildren.wa.gov.au/" TargetMode="External"/><Relationship Id="rId13" Type="http://schemas.openxmlformats.org/officeDocument/2006/relationships/hyperlink" Target="http://www.allenstraining.com.au" TargetMode="External"/><Relationship Id="rId18" Type="http://schemas.openxmlformats.org/officeDocument/2006/relationships/hyperlink" Target="https://www.myflexhealth.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pg2pdf.com/" TargetMode="External"/><Relationship Id="rId12" Type="http://schemas.openxmlformats.org/officeDocument/2006/relationships/hyperlink" Target="https://nmhs.elearn.net.au/enrol/index.php?id=812" TargetMode="External"/><Relationship Id="rId17" Type="http://schemas.openxmlformats.org/officeDocument/2006/relationships/hyperlink" Target="https://www.jobskillstrainingacademy.com" TargetMode="External"/><Relationship Id="rId2" Type="http://schemas.openxmlformats.org/officeDocument/2006/relationships/styles" Target="styles.xml"/><Relationship Id="rId16" Type="http://schemas.openxmlformats.org/officeDocument/2006/relationships/hyperlink" Target="http://www.healthcareaustralia.com.a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a.org.au/" TargetMode="External"/><Relationship Id="rId5" Type="http://schemas.openxmlformats.org/officeDocument/2006/relationships/footnotes" Target="footnotes.xml"/><Relationship Id="rId15" Type="http://schemas.openxmlformats.org/officeDocument/2006/relationships/hyperlink" Target="https://www.bestwestcare.net.au" TargetMode="External"/><Relationship Id="rId10" Type="http://schemas.openxmlformats.org/officeDocument/2006/relationships/hyperlink" Target="https://immunisationhandbook.health.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munisationhandbook.health.gov.au/" TargetMode="External"/><Relationship Id="rId14" Type="http://schemas.openxmlformats.org/officeDocument/2006/relationships/hyperlink" Target="https://auscaregroup.com.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1389</Words>
  <Characters>8379</Characters>
  <Application>Microsoft Office Word</Application>
  <DocSecurity>0</DocSecurity>
  <Lines>226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Dr Mary Nguyen</cp:lastModifiedBy>
  <cp:revision>9</cp:revision>
  <dcterms:created xsi:type="dcterms:W3CDTF">2023-03-20T02:32:00Z</dcterms:created>
  <dcterms:modified xsi:type="dcterms:W3CDTF">2024-05-01T05:48:00Z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dba5d4cfce8fbf6f22c9a81ea4705ea6125aba1a9b655f7b5a4550c51a06a6e1</vt:lpwstr>
  </property>
</Properties>
</file>